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3"/>
        <w:spacing w:line="300" w:lineRule="auto"/>
        <w:rPr>
          <w:szCs w:val="24"/>
        </w:rPr>
      </w:pPr>
      <w:r>
        <w:rPr>
          <w:szCs w:val="24"/>
        </w:rPr>
        <w:t xml:space="preserve">Соглашение </w:t>
      </w:r>
      <w:r>
        <w:rPr>
          <w:szCs w:val="24"/>
        </w:rPr>
      </w:r>
      <w:r>
        <w:rPr>
          <w:szCs w:val="24"/>
        </w:rPr>
      </w:r>
    </w:p>
    <w:p>
      <w:pPr>
        <w:pStyle w:val="899"/>
        <w:jc w:val="center"/>
        <w:spacing w:line="300" w:lineRule="auto"/>
        <w:rPr>
          <w:szCs w:val="24"/>
        </w:rPr>
      </w:pPr>
      <w:r>
        <w:t xml:space="preserve">о защищённом информационном взаимодействии </w:t>
      </w:r>
      <w:r>
        <w:rPr>
          <w:szCs w:val="24"/>
        </w:rPr>
      </w:r>
    </w:p>
    <w:p>
      <w:pPr>
        <w:pStyle w:val="899"/>
        <w:jc w:val="center"/>
        <w:spacing w:line="300" w:lineRule="auto"/>
        <w:rPr>
          <w:szCs w:val="24"/>
        </w:rPr>
      </w:pPr>
      <w:r>
        <w:t xml:space="preserve">и конфиденциальности</w:t>
      </w:r>
      <w:r>
        <w:rPr>
          <w:szCs w:val="24"/>
        </w:rPr>
      </w:r>
    </w:p>
    <w:p>
      <w:pPr>
        <w:jc w:val="both"/>
        <w:spacing w:line="300" w:lineRule="auto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ind w:firstLine="360"/>
        <w:jc w:val="both"/>
        <w:spacing w:line="300" w:lineRule="auto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ind w:firstLine="360"/>
        <w:jc w:val="both"/>
        <w:spacing w:line="300" w:lineRule="auto"/>
        <w:rPr>
          <w:szCs w:val="24"/>
        </w:rPr>
      </w:pPr>
      <w:r>
        <w:rPr>
          <w:szCs w:val="24"/>
        </w:rPr>
        <w:t xml:space="preserve">г. Липецк  «   » ___________202_ г.  </w:t>
      </w:r>
      <w:r>
        <w:rPr>
          <w:szCs w:val="24"/>
        </w:rPr>
      </w:r>
      <w:r>
        <w:rPr>
          <w:szCs w:val="24"/>
        </w:rPr>
      </w:r>
    </w:p>
    <w:p>
      <w:pPr>
        <w:jc w:val="both"/>
        <w:spacing w:line="300" w:lineRule="auto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ind w:firstLine="567"/>
        <w:jc w:val="both"/>
        <w:spacing w:line="300" w:lineRule="auto"/>
        <w:rPr>
          <w:szCs w:val="24"/>
        </w:rPr>
      </w:pPr>
      <w:r>
        <w:rPr>
          <w:szCs w:val="24"/>
        </w:rPr>
        <w:t xml:space="preserve">Территориальный фонд обязательного медицинского страхования Липецкой обл</w:t>
      </w:r>
      <w:r>
        <w:rPr>
          <w:szCs w:val="24"/>
        </w:rPr>
        <w:t xml:space="preserve">а</w:t>
      </w:r>
      <w:r>
        <w:rPr>
          <w:szCs w:val="24"/>
        </w:rPr>
        <w:t xml:space="preserve">сти, в лице директора </w:t>
      </w:r>
      <w:r>
        <w:rPr>
          <w:szCs w:val="24"/>
        </w:rPr>
        <w:t xml:space="preserve">Ражиной</w:t>
      </w:r>
      <w:r>
        <w:rPr>
          <w:szCs w:val="24"/>
        </w:rPr>
        <w:t xml:space="preserve"> Галины Анатольевны, действующего на основании Пол</w:t>
      </w:r>
      <w:r>
        <w:rPr>
          <w:szCs w:val="24"/>
        </w:rPr>
        <w:t xml:space="preserve">о</w:t>
      </w:r>
      <w:r>
        <w:rPr>
          <w:szCs w:val="24"/>
        </w:rPr>
        <w:t xml:space="preserve">жения, именуемый в дальнейшем ТФОМС, с одной стороны, и </w:t>
      </w:r>
      <w:r>
        <w:rPr>
          <w:szCs w:val="24"/>
        </w:rPr>
      </w:r>
      <w:r>
        <w:rPr>
          <w:szCs w:val="24"/>
        </w:rPr>
      </w:r>
    </w:p>
    <w:p>
      <w:pPr>
        <w:jc w:val="both"/>
        <w:spacing w:line="300" w:lineRule="auto"/>
        <w:rPr>
          <w:szCs w:val="24"/>
        </w:rPr>
      </w:pPr>
      <w:r>
        <w:rPr>
          <w:szCs w:val="24"/>
        </w:rPr>
        <w:t xml:space="preserve">_____________________________________________________________________________ </w:t>
      </w:r>
      <w:r>
        <w:rPr>
          <w:szCs w:val="24"/>
        </w:rPr>
      </w:r>
      <w:r>
        <w:rPr>
          <w:szCs w:val="24"/>
        </w:rPr>
      </w:r>
    </w:p>
    <w:p>
      <w:pPr>
        <w:jc w:val="both"/>
        <w:spacing w:line="300" w:lineRule="auto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jc w:val="both"/>
        <w:spacing w:line="300" w:lineRule="auto"/>
        <w:rPr>
          <w:szCs w:val="24"/>
        </w:rPr>
      </w:pPr>
      <w:r>
        <w:rPr>
          <w:szCs w:val="24"/>
        </w:rPr>
        <w:t xml:space="preserve"> в лице_______________________________________________________________________</w:t>
      </w:r>
      <w:r>
        <w:rPr>
          <w:szCs w:val="24"/>
        </w:rPr>
      </w:r>
      <w:r>
        <w:rPr>
          <w:szCs w:val="24"/>
        </w:rPr>
      </w:r>
    </w:p>
    <w:p>
      <w:pPr>
        <w:ind w:firstLine="567"/>
        <w:jc w:val="both"/>
        <w:spacing w:line="300" w:lineRule="auto"/>
        <w:tabs>
          <w:tab w:val="left" w:pos="8295" w:leader="none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</w:r>
      <w:r>
        <w:rPr>
          <w:szCs w:val="24"/>
        </w:rPr>
      </w:r>
    </w:p>
    <w:p>
      <w:pPr>
        <w:jc w:val="both"/>
        <w:spacing w:line="300" w:lineRule="auto"/>
        <w:rPr>
          <w:highlight w:val="none"/>
        </w:rPr>
      </w:pPr>
      <w:r>
        <w:rPr>
          <w:szCs w:val="24"/>
        </w:rPr>
        <w:t xml:space="preserve">действующи</w:t>
      </w:r>
      <w:r>
        <w:rPr>
          <w:szCs w:val="24"/>
        </w:rPr>
        <w:t xml:space="preserve">й(</w:t>
      </w:r>
      <w:r>
        <w:rPr>
          <w:szCs w:val="24"/>
        </w:rPr>
        <w:t xml:space="preserve">ая</w:t>
      </w:r>
      <w:r>
        <w:rPr>
          <w:szCs w:val="24"/>
        </w:rPr>
        <w:t xml:space="preserve">) на основании ____________________________, именуемый(</w:t>
      </w:r>
      <w:r>
        <w:rPr>
          <w:szCs w:val="24"/>
        </w:rPr>
        <w:t xml:space="preserve">ая</w:t>
      </w:r>
      <w:r>
        <w:rPr>
          <w:szCs w:val="24"/>
        </w:rPr>
        <w:t xml:space="preserve">) в дал</w:t>
      </w:r>
      <w:r>
        <w:rPr>
          <w:szCs w:val="24"/>
        </w:rPr>
        <w:t xml:space="preserve">ь</w:t>
      </w:r>
      <w:r>
        <w:rPr>
          <w:szCs w:val="24"/>
        </w:rPr>
        <w:t xml:space="preserve">нейшем Пользователь, с другой стороны, заключили настоящее Соглашение о нижесл</w:t>
      </w:r>
      <w:r>
        <w:rPr>
          <w:szCs w:val="24"/>
        </w:rPr>
        <w:t xml:space="preserve">е</w:t>
      </w:r>
      <w:r>
        <w:rPr>
          <w:szCs w:val="24"/>
        </w:rPr>
        <w:t xml:space="preserve">дующем: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b/>
          <w:bCs/>
          <w:highlight w:val="none"/>
        </w:rPr>
      </w:pPr>
      <w:r>
        <w:rPr>
          <w:b/>
          <w:szCs w:val="24"/>
          <w:lang w:val="en-US"/>
        </w:rPr>
        <w:t xml:space="preserve">1</w:t>
      </w:r>
      <w:r>
        <w:rPr>
          <w:b/>
          <w:szCs w:val="24"/>
        </w:rPr>
        <w:t xml:space="preserve">. Общие положения.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numPr>
          <w:ilvl w:val="1"/>
          <w:numId w:val="9"/>
        </w:numPr>
        <w:ind w:left="0" w:firstLine="567"/>
        <w:jc w:val="both"/>
        <w:spacing w:line="300" w:lineRule="auto"/>
        <w:tabs>
          <w:tab w:val="left" w:pos="-142" w:leader="none"/>
          <w:tab w:val="left" w:pos="993" w:leader="none"/>
        </w:tabs>
        <w:rPr>
          <w:szCs w:val="24"/>
        </w:rPr>
      </w:pPr>
      <w:r>
        <w:rPr>
          <w:szCs w:val="24"/>
        </w:rPr>
        <w:t xml:space="preserve">Термины, применяемые в настоящем Соглашении, означают следующее: </w:t>
      </w:r>
      <w:r>
        <w:rPr>
          <w:szCs w:val="24"/>
        </w:rPr>
      </w:r>
      <w:r>
        <w:rPr>
          <w:szCs w:val="24"/>
        </w:rPr>
      </w:r>
    </w:p>
    <w:p>
      <w:pPr>
        <w:ind w:firstLine="567"/>
        <w:jc w:val="both"/>
        <w:spacing w:line="300" w:lineRule="auto"/>
        <w:shd w:val="clear" w:color="auto" w:fill="ffffff"/>
        <w:tabs>
          <w:tab w:val="left" w:pos="540" w:leader="none"/>
          <w:tab w:val="left" w:pos="900" w:leader="none"/>
        </w:tabs>
        <w:rPr>
          <w:szCs w:val="24"/>
        </w:rPr>
      </w:pPr>
      <w:r>
        <w:rPr>
          <w:b/>
          <w:szCs w:val="24"/>
        </w:rPr>
        <w:t xml:space="preserve">Конфиденциальность информации -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её обладателя.</w:t>
      </w:r>
      <w:r>
        <w:rPr>
          <w:szCs w:val="24"/>
        </w:rPr>
      </w:r>
      <w:r>
        <w:rPr>
          <w:szCs w:val="24"/>
        </w:rPr>
      </w:r>
    </w:p>
    <w:p>
      <w:pPr>
        <w:ind w:firstLine="540"/>
        <w:jc w:val="both"/>
        <w:spacing w:line="300" w:lineRule="auto"/>
        <w:rPr>
          <w:szCs w:val="24"/>
        </w:rPr>
      </w:pPr>
      <w:r>
        <w:rPr>
          <w:b/>
          <w:szCs w:val="24"/>
        </w:rPr>
        <w:t xml:space="preserve">Персональные данные </w:t>
      </w:r>
      <w:r>
        <w:rPr>
          <w:szCs w:val="24"/>
        </w:rPr>
        <w:t xml:space="preserve">- любая информация, относящаяся к прямо или косвенно определенному или определяемому физическому лицу (субъекту персональных данных).</w:t>
      </w:r>
      <w:r>
        <w:rPr>
          <w:szCs w:val="24"/>
        </w:rPr>
      </w:r>
      <w:r>
        <w:rPr>
          <w:szCs w:val="24"/>
        </w:rPr>
      </w:r>
    </w:p>
    <w:p>
      <w:pPr>
        <w:ind w:firstLine="540"/>
        <w:jc w:val="both"/>
        <w:spacing w:line="300" w:lineRule="auto"/>
        <w:shd w:val="clear" w:color="auto" w:fill="ffffff"/>
        <w:tabs>
          <w:tab w:val="left" w:pos="540" w:leader="none"/>
          <w:tab w:val="left" w:pos="900" w:leader="none"/>
        </w:tabs>
        <w:rPr>
          <w:szCs w:val="24"/>
        </w:rPr>
      </w:pPr>
      <w:r>
        <w:rPr>
          <w:b/>
          <w:szCs w:val="24"/>
        </w:rPr>
        <w:t xml:space="preserve">Обладатель информации</w:t>
      </w:r>
      <w:r>
        <w:rPr>
          <w:szCs w:val="24"/>
        </w:rPr>
        <w:t xml:space="preserve"> - лицо, самостоятельно создавшее информацию либо п</w:t>
      </w:r>
      <w:r>
        <w:rPr>
          <w:szCs w:val="24"/>
        </w:rPr>
        <w:t xml:space="preserve">о</w:t>
      </w:r>
      <w:r>
        <w:rPr>
          <w:szCs w:val="24"/>
        </w:rPr>
        <w:t xml:space="preserve">лучившее на основании закона или договора право разрешать или ограничивать доступ к информации, определяемой по каким-либо признакам.</w:t>
      </w:r>
      <w:r>
        <w:rPr>
          <w:szCs w:val="24"/>
        </w:rPr>
      </w:r>
      <w:r>
        <w:rPr>
          <w:szCs w:val="24"/>
        </w:rPr>
      </w:r>
    </w:p>
    <w:p>
      <w:pPr>
        <w:ind w:firstLine="540"/>
        <w:jc w:val="both"/>
        <w:spacing w:line="300" w:lineRule="auto"/>
        <w:shd w:val="clear" w:color="auto" w:fill="ffffff"/>
        <w:tabs>
          <w:tab w:val="left" w:pos="540" w:leader="none"/>
          <w:tab w:val="left" w:pos="900" w:leader="none"/>
        </w:tabs>
        <w:rPr>
          <w:szCs w:val="24"/>
        </w:rPr>
      </w:pPr>
      <w:r>
        <w:rPr>
          <w:b/>
          <w:szCs w:val="24"/>
        </w:rPr>
        <w:t xml:space="preserve">Доступ к информации - возможность получения информации и её использования.</w:t>
      </w:r>
      <w:r>
        <w:rPr>
          <w:szCs w:val="24"/>
        </w:rPr>
      </w:r>
      <w:r>
        <w:rPr>
          <w:szCs w:val="24"/>
        </w:rPr>
      </w:r>
    </w:p>
    <w:p>
      <w:pPr>
        <w:ind w:firstLine="540"/>
        <w:jc w:val="both"/>
        <w:spacing w:line="300" w:lineRule="auto"/>
        <w:shd w:val="clear" w:color="auto" w:fill="ffffff"/>
        <w:tabs>
          <w:tab w:val="left" w:pos="540" w:leader="none"/>
          <w:tab w:val="left" w:pos="900" w:leader="none"/>
        </w:tabs>
        <w:rPr>
          <w:szCs w:val="24"/>
        </w:rPr>
      </w:pPr>
      <w:r>
        <w:rPr>
          <w:b/>
          <w:szCs w:val="24"/>
        </w:rPr>
        <w:t xml:space="preserve">Предоставление информации</w:t>
      </w:r>
      <w:r>
        <w:rPr>
          <w:szCs w:val="24"/>
        </w:rPr>
        <w:t xml:space="preserve"> - действия, направленные на получение информации определенным кругом лиц или передачу информации определенному кругу лиц.</w:t>
      </w:r>
      <w:r>
        <w:rPr>
          <w:szCs w:val="24"/>
        </w:rPr>
      </w:r>
      <w:r>
        <w:rPr>
          <w:szCs w:val="24"/>
        </w:rPr>
      </w:r>
    </w:p>
    <w:p>
      <w:pPr>
        <w:ind w:firstLine="540"/>
        <w:jc w:val="both"/>
        <w:spacing w:line="300" w:lineRule="auto"/>
        <w:shd w:val="clear" w:color="auto" w:fill="ffffff"/>
        <w:tabs>
          <w:tab w:val="left" w:pos="540" w:leader="none"/>
          <w:tab w:val="left" w:pos="900" w:leader="none"/>
        </w:tabs>
        <w:rPr>
          <w:szCs w:val="24"/>
        </w:rPr>
      </w:pPr>
      <w:r>
        <w:rPr>
          <w:b/>
          <w:szCs w:val="24"/>
        </w:rPr>
        <w:t xml:space="preserve">Распространение информации</w:t>
      </w:r>
      <w:r>
        <w:rPr>
          <w:szCs w:val="24"/>
        </w:rPr>
        <w:t xml:space="preserve"> - действия, направленные на получение информации неопределенным кругом лиц или передачу информации неопределенному кругу лиц.</w:t>
      </w:r>
      <w:r>
        <w:rPr>
          <w:szCs w:val="24"/>
        </w:rPr>
      </w:r>
      <w:r>
        <w:rPr>
          <w:szCs w:val="24"/>
        </w:rPr>
      </w:r>
    </w:p>
    <w:p>
      <w:pPr>
        <w:ind w:firstLine="540"/>
        <w:jc w:val="both"/>
        <w:spacing w:line="300" w:lineRule="auto"/>
        <w:tabs>
          <w:tab w:val="left" w:pos="360" w:leader="none"/>
          <w:tab w:val="left" w:pos="540" w:leader="none"/>
          <w:tab w:val="left" w:pos="900" w:leader="none"/>
        </w:tabs>
        <w:rPr>
          <w:szCs w:val="24"/>
        </w:rPr>
      </w:pPr>
      <w:r>
        <w:rPr>
          <w:b/>
          <w:szCs w:val="24"/>
        </w:rPr>
        <w:t xml:space="preserve">Информационно-телекоммуникационная сеть</w:t>
      </w:r>
      <w:r>
        <w:rPr>
          <w:szCs w:val="24"/>
        </w:rPr>
        <w:t xml:space="preserve"> – технологическая система, предн</w:t>
      </w:r>
      <w:r>
        <w:rPr>
          <w:szCs w:val="24"/>
        </w:rPr>
        <w:t xml:space="preserve">а</w:t>
      </w:r>
      <w:r>
        <w:rPr>
          <w:szCs w:val="24"/>
        </w:rPr>
        <w:t xml:space="preserve">значенная для передачи по линиям связи информации, доступ к которой осуществляется с использованием средств вычислительной техники.</w:t>
      </w:r>
      <w:r>
        <w:rPr>
          <w:szCs w:val="24"/>
        </w:rPr>
      </w:r>
      <w:r>
        <w:rPr>
          <w:szCs w:val="24"/>
        </w:rPr>
      </w:r>
    </w:p>
    <w:p>
      <w:pPr>
        <w:ind w:firstLine="540"/>
        <w:jc w:val="both"/>
        <w:spacing w:line="300" w:lineRule="auto"/>
        <w:tabs>
          <w:tab w:val="left" w:pos="360" w:leader="none"/>
          <w:tab w:val="left" w:pos="540" w:leader="none"/>
          <w:tab w:val="left" w:pos="900" w:leader="none"/>
        </w:tabs>
        <w:rPr>
          <w:highlight w:val="none"/>
        </w:rPr>
      </w:pPr>
      <w:r>
        <w:t xml:space="preserve">Информационная система ведения персонифицированного учета медицинской помощи, оказанной застрахован</w:t>
      </w:r>
      <w:r>
        <w:t xml:space="preserve">ным лицам в сфере обязательного медицинского страхования, Территориального фонда обязательного медицинского страхования Липецкой области (ИС ПУМП ТФОМС ЛО) - информационная система, предназначенная для ведения персонифицированного учета сведений о медицинс</w:t>
      </w:r>
      <w:r>
        <w:t xml:space="preserve">кой помощи, оказанной лицам, застрахованным по обязательному медицинскому страхованию на территории Липецкой области, а также лицам, застрахованным в других субъектах Российской Федерации, обратившимся за помощью в медицинские организации Липецкой области.</w:t>
      </w:r>
      <w:r>
        <w:rPr>
          <w:highlight w:val="none"/>
        </w:rPr>
      </w:r>
    </w:p>
    <w:p>
      <w:pPr>
        <w:ind w:left="0" w:right="0" w:firstLine="709"/>
        <w:jc w:val="both"/>
        <w:spacing w:line="300" w:lineRule="auto"/>
        <w:rPr>
          <w:highlight w:val="none"/>
        </w:rPr>
      </w:pPr>
      <w:r>
        <w:t xml:space="preserve">В рамках данного соглашения к конфиденциальной информации относятся персональные данные и данные, составляющие в соответствии с законодательством РФ врачебную тайну.</w:t>
      </w:r>
      <w:r>
        <w:rPr>
          <w:highlight w:val="none"/>
        </w:rPr>
      </w:r>
    </w:p>
    <w:p>
      <w:pPr>
        <w:ind w:left="0" w:right="0" w:firstLine="709"/>
        <w:jc w:val="both"/>
        <w:spacing w:line="300" w:lineRule="auto"/>
        <w:rPr>
          <w:b/>
          <w:bCs/>
          <w:highlight w:val="none"/>
        </w:rPr>
      </w:pPr>
      <w:r>
        <w:rPr>
          <w:b/>
          <w:bCs/>
          <w:szCs w:val="24"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709"/>
        <w:jc w:val="both"/>
        <w:spacing w:line="300" w:lineRule="auto"/>
        <w:rPr>
          <w:b/>
          <w:bCs/>
          <w:highlight w:val="none"/>
        </w:rPr>
      </w:pPr>
      <w:r>
        <w:rPr>
          <w:b/>
          <w:bCs/>
          <w:szCs w:val="24"/>
          <w:highlight w:val="none"/>
        </w:rPr>
        <w:t xml:space="preserve">2. Предмет соглашения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709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2.1 </w:t>
      </w:r>
      <w:r>
        <w:rPr>
          <w:szCs w:val="24"/>
          <w:highlight w:val="none"/>
        </w:rPr>
        <w:t xml:space="preserve">Предметом Соглашения является </w:t>
      </w:r>
      <w:r>
        <w:rPr>
          <w:szCs w:val="24"/>
          <w:highlight w:val="none"/>
        </w:rPr>
        <w:t xml:space="preserve">обмен электронными документами, в том числе содержащими персональные данные, в целях исполнения Федерального закона от 29.11.2010 № 326-ФЗ "Об обязательном медицинском страховании в Российской Федерации"</w:t>
      </w:r>
      <w:r>
        <w:rPr>
          <w:szCs w:val="24"/>
          <w:highlight w:val="none"/>
        </w:rPr>
        <w:t xml:space="preserve">, с учетом требований законодательства Российской Федерации в области защиты информации</w:t>
      </w:r>
      <w:r>
        <w:rPr>
          <w:szCs w:val="24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</w:rPr>
        <w:t xml:space="preserve">2.2 </w:t>
      </w:r>
      <w:r>
        <w:rPr>
          <w:szCs w:val="24"/>
        </w:rPr>
        <w:t xml:space="preserve">Обмен электронными документами осуществляется с применением шифрования и электронной подписи по телекоммуникационным каналам связи, в том числе по каналам связи сети Интернет, с обеспечением требований законодательства Российской Федерации по защите ин</w:t>
      </w:r>
      <w:r>
        <w:rPr>
          <w:szCs w:val="24"/>
        </w:rPr>
        <w:t xml:space="preserve">формации.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</w:pPr>
      <w:r>
        <w:rPr>
          <w:b/>
          <w:bCs/>
          <w:szCs w:val="24"/>
          <w:highlight w:val="none"/>
        </w:rPr>
        <w:t xml:space="preserve">3. Обеспечение конфиденциальности</w:t>
      </w:r>
      <w:r>
        <w:rPr>
          <w:szCs w:val="24"/>
          <w:highlight w:val="none"/>
        </w:rPr>
        <w:t xml:space="preserve"> 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3.1. Обеспечение защиты информации и её конфиденциальности при обмене электронными документами между Сторонами осуществляется в соответствии с требованиями: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- </w:t>
      </w:r>
      <w:r>
        <w:rPr>
          <w:szCs w:val="24"/>
          <w:highlight w:val="none"/>
        </w:rPr>
        <w:t xml:space="preserve">Федерального закона от 27.07.2006 г. № 152-ФЗ «О персональных данных»;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szCs w:val="24"/>
          <w:highlight w:val="none"/>
        </w:rPr>
        <w:t xml:space="preserve">- Ф</w:t>
      </w:r>
      <w:r>
        <w:rPr>
          <w:szCs w:val="24"/>
          <w:highlight w:val="none"/>
        </w:rPr>
        <w:t xml:space="preserve">едерального закона от 27.07.2006 г. №149-ФЗ «Об информации, информационных технологиях и о защите информации»</w:t>
      </w:r>
      <w:r>
        <w:rPr>
          <w:szCs w:val="24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- </w:t>
      </w:r>
      <w:r>
        <w:rPr>
          <w:szCs w:val="24"/>
          <w:highlight w:val="none"/>
        </w:rPr>
        <w:t xml:space="preserve">Федерального закона от 06.04.2011 №63-ФЗ «Об электронной подписи»;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- Постановления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- </w:t>
      </w:r>
      <w:r>
        <w:rPr>
          <w:szCs w:val="24"/>
          <w:highlight w:val="none"/>
        </w:rPr>
        <w:t xml:space="preserve">П</w:t>
      </w:r>
      <w:r>
        <w:rPr>
          <w:szCs w:val="24"/>
          <w:highlight w:val="none"/>
        </w:rPr>
        <w:t xml:space="preserve">риказа Федеральной службы по техническому и экспортному контролю России №117 от 11 апреля 2025 года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</w:t>
      </w:r>
      <w:r>
        <w:rPr>
          <w:szCs w:val="24"/>
          <w:highlight w:val="none"/>
        </w:rPr>
        <w:t xml:space="preserve">, государственных унитарных предприятий, государственных учреждений»</w:t>
      </w:r>
      <w:r>
        <w:rPr>
          <w:szCs w:val="24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ИС ПУМП ТФОМС ЛО обрабатывает персональные данные и одновременно функцио</w:t>
      </w:r>
      <w:r>
        <w:rPr>
          <w:szCs w:val="24"/>
          <w:highlight w:val="none"/>
        </w:rPr>
        <w:t xml:space="preserve">нирует в качестве государственной информационной системы. В связи с этим защита информации в ИС ПУМП ТФОМС ЛО обеспечивается с применением требований как Постановления Правительства РФ от 01.11.2012 № 1119 (в части защиты персональных данных в ИСПДн — уров</w:t>
      </w:r>
      <w:r>
        <w:rPr>
          <w:szCs w:val="24"/>
          <w:highlight w:val="none"/>
        </w:rPr>
        <w:t xml:space="preserve">ень защищённости УЗ2), так и Требований, утверждённых приказом ФСТЭК России от 11.04.2025 № 117 (в части защиты информации в ГИС — класс защищённости К2). Требования применяются совместно в соответствии с пунктом 5 Приказа ФСТЭК России от 11.04.2025 № 117.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3.2. С целью обеспечения защиты информации Стороны соглашения обеспечивают выполнение </w:t>
      </w:r>
      <w:r>
        <w:rPr>
          <w:szCs w:val="24"/>
          <w:highlight w:val="none"/>
        </w:rPr>
        <w:t xml:space="preserve">необходимых организационных и технических мер защиты, в том числе с использованием применяемых Сторонами сертифицированных средств криптогр</w:t>
      </w:r>
      <w:r>
        <w:rPr>
          <w:szCs w:val="24"/>
          <w:highlight w:val="none"/>
        </w:rPr>
        <w:t xml:space="preserve">афической защиты информации (далее - СКЗИ) с функциями шифрования и электронной подписи (далее - ЭП).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3.3. Стороны обязуются не разглашать конфиденциальную информацию какой-либо третьей стороне, как организациям, так и частным лицам, за исключением случаев, определенных законодательством Российской Федерации.</w:t>
      </w:r>
      <w:r/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3.4. Стороны обязуются обеспечить защиту конфиденциальной информации, ставшей им доступной в рамках выполнения настоящего Соглашения, от несанкционированного доступа, использования, распространения или публикации.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</w:pPr>
      <w:r>
        <w:rPr>
          <w:b/>
          <w:bCs/>
          <w:szCs w:val="24"/>
          <w:highlight w:val="none"/>
        </w:rPr>
        <w:t xml:space="preserve">4. Порядок осуществления обмена электронными документами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4.1. Порядок защищённого информационного взаимодействия определен в Регламенте, приведенном в приложении, являющемся неотъемлемой частью Соглашения.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b/>
          <w:bCs/>
          <w:szCs w:val="24"/>
          <w:highlight w:val="none"/>
        </w:rPr>
        <w:t xml:space="preserve">5. Обязанности и ответственность сторон.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5.1. ТФОМС и Пользователь принимают на себя следующие обязательства: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yellow"/>
        </w:rPr>
      </w:pPr>
      <w:r>
        <w:t xml:space="preserve">5.1.1. Осуществлять защи</w:t>
      </w:r>
      <w:r>
        <w:t xml:space="preserve">щённое информационное взаимодействие в целях организации и ведения персонифицированного учета сведений о медицинской помощи в рамках ИС ПУМП ТФОМС ЛО в целях реализации функций системы обязательного медицинского страхования на территории Липецкой области. </w:t>
      </w:r>
      <w:r>
        <w:rPr>
          <w:highlight w:val="yellow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5.1.2. Обеспечить функционирование оборудования, необходимого для защищённого информационного взаимодействия.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yellow"/>
        </w:rPr>
      </w:pPr>
      <w:r>
        <w:t xml:space="preserve">5.1.3. Самостоятельно приобретать за собственные средства необходимое программное обеспечение и средства защиты информации.</w:t>
      </w:r>
      <w:r>
        <w:rPr>
          <w:highlight w:val="yellow"/>
        </w:rPr>
      </w:r>
    </w:p>
    <w:p>
      <w:pPr>
        <w:ind w:firstLine="567"/>
        <w:jc w:val="both"/>
        <w:spacing w:line="300" w:lineRule="auto"/>
        <w:rPr>
          <w:highlight w:val="yellow"/>
        </w:rPr>
      </w:pPr>
      <w:r>
        <w:t xml:space="preserve">5.1.4. Самостоятельно за собственные средства оплачивать средства связи и каналы связи, необходимые для работы при осуществлении защищённого информационного взаимодействия.</w:t>
      </w:r>
      <w:r>
        <w:rPr>
          <w:highlight w:val="yellow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t xml:space="preserve">5.1.5. После получения регистрационных файлов от ОАО</w:t>
      </w:r>
      <w:r>
        <w:t xml:space="preserve"> «ИнфоТеКС» ТФОМС Липецкой области формирует дистрибутивы ключей для Абонентских пунктов вместе с паролем доступа к ним и передает Пользователю ключевую информацию, используемую для функционирования средств криптографической защиты информации (далее СКЗИ).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t xml:space="preserve">5.1.6. ТФОМС имеет право производить замену СКЗИ в случае изменения требований к СКЗИ. О замене средств криптографической защиты информа</w:t>
      </w:r>
      <w:r>
        <w:t xml:space="preserve">ции ТФОМС обязан уведомить об этом Пользователя не менее чем за 60 дней. При необходимости Пользователь обязан до наступления данного события приобрести требуемые программно-технические средства в соответствии с рекомендациями ТФОМС и ввести их в действие.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t xml:space="preserve">5.1.7. При плановой замене ключевой и</w:t>
      </w:r>
      <w:r>
        <w:t xml:space="preserve">нформации ТФОМС также обязан уведомить об этом Пользователя не менее чем за 15 дней. В свою очередь Пользователь обязан в течение указанного срока предоставить в ТФОМС необходимые материалы и электронные носители для изготовления новой ключевой информации.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t xml:space="preserve">5.1.8. При изменении форматов обмена с ИС ТФОМС Липецкой области ТФОМС ставит в известность об этом Пользователя не менее чем за 30 дней до наступления события.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yellow"/>
        </w:rPr>
      </w:pPr>
      <w:r>
        <w:rPr>
          <w:szCs w:val="24"/>
          <w:highlight w:val="none"/>
        </w:rPr>
        <w:t xml:space="preserve">5</w:t>
      </w:r>
      <w:r>
        <w:rPr>
          <w:szCs w:val="24"/>
          <w:highlight w:val="none"/>
        </w:rPr>
        <w:t xml:space="preserve">.1.9. ТФОМС обязуется обеспечить конфиденциальность информации, передаваемой Пользователем в рамках настоящего Соглашения в строгом соответствии с действующим законодательством Российской Федерации.</w:t>
      </w:r>
      <w:r>
        <w:rPr>
          <w:highlight w:val="yellow"/>
        </w:rPr>
      </w:r>
      <w:r>
        <w:rPr>
          <w:highlight w:val="yellow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</w:t>
      </w:r>
      <w:r>
        <w:rPr>
          <w:szCs w:val="24"/>
          <w:highlight w:val="none"/>
        </w:rPr>
        <w:t xml:space="preserve">.2. Стороны обязуются: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yellow"/>
        </w:rPr>
      </w:pPr>
      <w:r>
        <w:rPr>
          <w:szCs w:val="24"/>
          <w:highlight w:val="none"/>
        </w:rPr>
        <w:t xml:space="preserve">5.2.</w:t>
      </w:r>
      <w:r>
        <w:rPr>
          <w:szCs w:val="24"/>
          <w:highlight w:val="none"/>
        </w:rPr>
        <w:t xml:space="preserve">1. При осуществлении защищённого информационного взаимодействия руководствоваться законодательством Российской Федерации, включая нормативно-правовые акты, регламентирующие использование средств криптографической защиты информации, и настоящим Соглашением.</w:t>
      </w:r>
      <w:r>
        <w:rPr>
          <w:highlight w:val="yellow"/>
        </w:rPr>
      </w:r>
      <w:r>
        <w:rPr>
          <w:highlight w:val="yellow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t xml:space="preserve">5.2.2. Содержать в исправном состоянии автоматизированные рабочие места (далее АРМ), участвующие в информационном взаим</w:t>
      </w:r>
      <w:r>
        <w:t xml:space="preserve">одействии, принимать технические и организационные меры для предотвращения несанкционированного доступа к данным рабочим станциям, установленному на них программному обеспечению и средствам защиты информации, а также в помещения, в которых они установлены.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</w:t>
      </w:r>
      <w:r>
        <w:rPr>
          <w:szCs w:val="24"/>
          <w:highlight w:val="none"/>
        </w:rPr>
        <w:t xml:space="preserve">.2.3. Не допускать появления на взаимодействующих с ИС ТФОМС Липецкой области АРМ вредоносного программного обеспечения.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yellow"/>
        </w:rPr>
      </w:pPr>
      <w:r>
        <w:rPr>
          <w:szCs w:val="24"/>
          <w:highlight w:val="none"/>
        </w:rPr>
        <w:t xml:space="preserve">5.2.4. Вести пос</w:t>
      </w:r>
      <w:r>
        <w:rPr>
          <w:szCs w:val="24"/>
          <w:highlight w:val="none"/>
        </w:rPr>
        <w:t xml:space="preserve">тоянный мониторинг обнаруженных уязвимостей в программном обеспечении АРМ используемом для взаимодействия с ИС ПУМП ТФОМС ЛО, а также производить установку необходимых обновлений безопасности программного обеспечения в соответствии с Методикой тестирования</w:t>
      </w:r>
      <w:r>
        <w:rPr>
          <w:szCs w:val="24"/>
          <w:highlight w:val="none"/>
        </w:rPr>
        <w:t xml:space="preserve"> обновлений безопасности программных, программно-аппаратных средств, утвержденной ФСТЭК России 28 октября 2022 г., а также Методикой оценки уровня критичности уязвимостей программных, программно-аппаратных средств, утвержденной ФСТЭК России 30 июня 2025 г.</w:t>
      </w:r>
      <w:r>
        <w:rPr>
          <w:highlight w:val="yellow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t xml:space="preserve">5.2.5. Выполнять требования к эксплуатации средств криптографической защиты информации, указанные в эксплуатационной документации на используемые средства криптографической защиты информации.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5.2.6. Своевременно обновлять ПО ViPNet Client согласно информации, размещаемой на официальном сайте разработчика https://infotecs.ru. Допускается использование только сертифицированных сборок ПО ViPNet Client.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5.2.7. Предотвращать несанкционированный доступ к информации и (или) передачу </w:t>
      </w:r>
      <w:r>
        <w:rPr>
          <w:szCs w:val="24"/>
          <w:highlight w:val="none"/>
        </w:rPr>
        <w:t xml:space="preserve">её лицам, не имеющим права на доступ к информации, а также обеспечивать защиту информации от неправомерного уничтожения, модифицирования, блокирования, копирования, предоставления, распространения и иных неправомерных действий в отношении такой информации.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5.2.8. Допускать к работе со средствами защиты информации только обученных специалистов, перечень которых определяется Сторонами самостоятельно;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5.2.9. Обеспечить правильность функционирования средств защиты информации, в соответствии с эксплуатационной документацией на средства защиты информации.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5.2.10. Осуществлять постоянный контроль за обеспечением уровня защищённости информации в соответствии с Метод</w:t>
      </w:r>
      <w:r>
        <w:rPr>
          <w:szCs w:val="24"/>
          <w:highlight w:val="none"/>
        </w:rPr>
        <w:t xml:space="preserve">ическим документом ФСТЭК России от 11 ноября 2025 г. «Методика оценки показателя состояния технической защиты информации в информационных системах и обеспечения безопасности значимых объектов критической информационной инфраструктуры Российской Федерации».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5.2.11. Передача конфиденциальной информации по информационно-телекоммуникационной сети осуществляется с использованием средств защиты информации сети ТФОМС</w:t>
      </w:r>
      <w:r>
        <w:rPr>
          <w:szCs w:val="24"/>
          <w:highlight w:val="none"/>
        </w:rPr>
        <w:t xml:space="preserve"> Липецкой области ViPNet № 641. Допускается использование ViPNet-клиентов других сетей ViPNet в рамках межсетевого взаимодействия при условии, что Пользователь является собственником такой сети ViPNet и обеспечивает эквивалентный уровень защиты информации.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5.2.12. До начала осуществления защищённого информационного взаимодействия и получения ключевого дистрибутива СКЗИ ViPNet Client от ТФОМС, Пользователь обязан направить в адрес ТФОМС подписанный Акт технической готовности и соответствия АРМ требов</w:t>
      </w:r>
      <w:r>
        <w:rPr>
          <w:highlight w:val="none"/>
        </w:rPr>
        <w:t xml:space="preserve">аниям безопасности информации (Форма Акта приведена в Приложении № 2 к настоящему Соглашению), подтверждающий выполнение технических условий, указанных в п. 6.5 Регламента (Приложение № 1 к настоящему Соглашению). К Акту в обязательном порядке прилагаются: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копии действующих сертификатов соответ</w:t>
      </w:r>
      <w:r>
        <w:rPr>
          <w:highlight w:val="none"/>
        </w:rPr>
        <w:t xml:space="preserve">ствия ФСТЭК России на используемую сертифицированную отечественную операционную систему и применяемые средства защиты информации (далее - СЗИ);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копию приказа руководителя о назначении </w:t>
      </w:r>
      <w:r>
        <w:rPr>
          <w:highlight w:val="none"/>
        </w:rPr>
        <w:t xml:space="preserve">ответственного за обеспечение безопасности обработки персональных данных;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</w:t>
      </w:r>
      <w:r>
        <w:rPr>
          <w:highlight w:val="none"/>
        </w:rPr>
        <w:t xml:space="preserve">копию приказа руководителя о назначении сотрудника (сотрудников), ответственных за защиту информации, обеспечение информационной безопасности и за эксплуатацию средств защиты информации;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t xml:space="preserve">- копию приказа (или Перечень) утвержденных сотрудников, допущенных к обработке персональных данных;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копию А</w:t>
      </w:r>
      <w:r>
        <w:rPr>
          <w:highlight w:val="none"/>
        </w:rPr>
        <w:t xml:space="preserve">ттестата на соответствие требованиям безопасности информации или </w:t>
      </w:r>
      <w:r>
        <w:rPr>
          <w:highlight w:val="none"/>
        </w:rPr>
        <w:t xml:space="preserve">Акт (заключение) оценки эффективности принимаемых мер по обеспечению безопасности персональных данных (при наличии)</w:t>
      </w:r>
      <w:r>
        <w:rPr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5.2.13. ТФОМС в целях обеспечения безопасности ИС ПУМП ТФОМС ЛО имеет право осуществлять контроль выполнения Пользователем требований по защите информации. Данный контроль может проводиться ТФОМС в форме: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письменного запроса сведений о текущем состоянии защищённости АРМ, включая наименования и версии применяемых СЗИ, номера и сроки действия сертификатов ФСТЭК России;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запроса выписки из конфигурации безопасности сертифицированной отечественной ОС и применяемых СЗИ и СКЗИ, содержащей сведения о включённых механизмах защиты, но не содержащей паролей, ключей и иных аутентификационных данных.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Передаваемые сведения относятся к конфиденциальной информации и обрабатываются ТФОМС с соблюдением требований её защиты.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5.2.14. Пользователь обязан немедленно (в течение 24 часов с момента обнаружения) информировать ТФОМС обо всех фактах нарушения безопасности информации, включая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фиксацию успешных компьютерных атак на АРМ;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обнаружение деструктивных действий вредоносного программного обеспечения, котор</w:t>
      </w:r>
      <w:r>
        <w:rPr>
          <w:highlight w:val="none"/>
        </w:rPr>
        <w:t xml:space="preserve">ые не были заблокированы средствами антивирусной защиты;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выявление уязвимостей в ПО АРМ, имеющих максимальный уровень критичности, до момента установки соответствующих обновлений безопасности;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- нарушение целостности программной среды ОС или средс</w:t>
      </w:r>
      <w:r>
        <w:rPr>
          <w:highlight w:val="none"/>
        </w:rPr>
        <w:t xml:space="preserve">тв защиты.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5.2.15. В случае </w:t>
      </w:r>
      <w:r>
        <w:rPr>
          <w:highlight w:val="none"/>
        </w:rPr>
        <w:t xml:space="preserve">выявления ТФОМС фактов неисполнения Пользователем требований по обеспечению информационной безопасности, использования несертифицированного системного ПО или СЗИ и СКЗИ, отсутствия критических обновлений безопасности, а также при возникновении угрозы безоп</w:t>
      </w:r>
      <w:r>
        <w:rPr>
          <w:highlight w:val="none"/>
        </w:rPr>
        <w:t xml:space="preserve">асности ИС ПУМП ТФОМС ЛО, ТФОМС имеет право в одностороннем порядке приостановить защищённое информационное взаимодействие путём блокировки учётной записи и отзыва/блокирования сетевых доступов ViPNet Client Пользователя до устранения выявленных нарушений.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ТФОМС уведомляет Пользователя о приостановке взаимодействия с указанием выявленных нарушений не позднее 1 (одного) рабочего дня с момента блокировки. Поль</w:t>
      </w:r>
      <w:r>
        <w:rPr>
          <w:highlight w:val="none"/>
        </w:rPr>
        <w:t xml:space="preserve">зователь вправе представить мотивированные возражения в течение 5 (пяти) рабочих дней с момента получения уведомления. В случае устранения нарушений или подтверждения необоснованности блокировки ТФОМС восстанавливает доступ в течение 2 (двух) рабочих дней.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highlight w:val="none"/>
        </w:rPr>
        <w:t xml:space="preserve">5.2.16. Пользователь обязуется</w:t>
      </w:r>
      <w:r>
        <w:rPr>
          <w:highlight w:val="none"/>
        </w:rPr>
        <w:t xml:space="preserve"> заблаговременно (не менее чем за 5 рабочих дней) письменно уведомлять ТФОМС о плановой модернизации АРМ, смене версии сертифицированной отечественной ОС или средств антивирусной защиты, с предоставлением актуализированного Акта технической готовности АРМ.</w:t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b/>
          <w:bCs/>
          <w:highlight w:val="none"/>
        </w:rPr>
      </w:pPr>
      <w:r>
        <w:rPr>
          <w:szCs w:val="24"/>
          <w:highlight w:val="none"/>
        </w:rPr>
        <w:t xml:space="preserve">5</w:t>
      </w:r>
      <w:r>
        <w:rPr>
          <w:szCs w:val="24"/>
          <w:highlight w:val="none"/>
        </w:rPr>
        <w:t xml:space="preserve">.3. Стороны несут ответственность по соглашению в соответствии с действующим законодательством.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firstLine="567"/>
        <w:jc w:val="both"/>
        <w:spacing w:line="300" w:lineRule="auto"/>
      </w:pPr>
      <w:r/>
      <w:r/>
    </w:p>
    <w:p>
      <w:pPr>
        <w:ind w:firstLine="567"/>
        <w:jc w:val="both"/>
        <w:spacing w:line="300" w:lineRule="auto"/>
      </w:pPr>
      <w:r>
        <w:rPr>
          <w:b/>
          <w:bCs/>
        </w:rPr>
        <w:t xml:space="preserve">6. Порядок разрешения конфликтных ситуаций и споров</w:t>
      </w:r>
      <w:r/>
    </w:p>
    <w:p>
      <w:pPr>
        <w:ind w:firstLine="567"/>
        <w:jc w:val="both"/>
        <w:spacing w:line="300" w:lineRule="auto"/>
      </w:pPr>
      <w:r>
        <w:t xml:space="preserve">6.1. </w:t>
      </w:r>
      <w:r>
        <w:t xml:space="preserve">Все разногласия, споры и конфликтные ситуации, возникающие вследствие выполнения настоящего Соглашения, разрешаются с учетом взаимных интересов путем переговоров.</w:t>
      </w:r>
      <w:r/>
    </w:p>
    <w:p>
      <w:pPr>
        <w:ind w:firstLine="567"/>
        <w:jc w:val="both"/>
        <w:spacing w:line="300" w:lineRule="auto"/>
      </w:pPr>
      <w:r>
        <w:t xml:space="preserve">6.2. В случае невозможности разрешения разногласий путем переговоров в течение 30 (тридцати) дней с момента их начала спор подлежит рассмотрению в судебном порядке в соответствии с законодательством Российской Федерации.</w:t>
      </w:r>
      <w:r/>
    </w:p>
    <w:p>
      <w:pPr>
        <w:ind w:firstLine="567"/>
        <w:jc w:val="both"/>
        <w:spacing w:line="300" w:lineRule="auto"/>
      </w:pPr>
      <w:r>
        <w:t xml:space="preserve">6.3. Споры по настоящему Соглашению рассматриваются в соответствии с законодательством Российской Федерации о подведомственности и подсудности.</w:t>
      </w:r>
      <w:r/>
    </w:p>
    <w:p>
      <w:pPr>
        <w:ind w:firstLine="567"/>
        <w:jc w:val="both"/>
        <w:spacing w:line="300" w:lineRule="auto"/>
      </w:pPr>
      <w:r>
        <w:rPr>
          <w:b/>
          <w:szCs w:val="24"/>
          <w:highlight w:val="none"/>
        </w:rPr>
      </w:r>
      <w:r>
        <w:rPr>
          <w:b/>
          <w:szCs w:val="24"/>
          <w:highlight w:val="none"/>
        </w:rPr>
      </w:r>
      <w:r/>
    </w:p>
    <w:p>
      <w:pPr>
        <w:ind w:left="567" w:firstLine="0"/>
        <w:jc w:val="both"/>
        <w:spacing w:line="300" w:lineRule="auto"/>
        <w:tabs>
          <w:tab w:val="left" w:pos="0" w:leader="none"/>
          <w:tab w:val="left" w:pos="1134" w:leader="none"/>
        </w:tabs>
        <w:rPr>
          <w:b/>
          <w:bCs/>
          <w:highlight w:val="none"/>
        </w:rPr>
      </w:pPr>
      <w:r>
        <w:rPr>
          <w:b/>
          <w:szCs w:val="24"/>
        </w:rPr>
        <w:t xml:space="preserve">7. Заключительные положения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567"/>
        <w:jc w:val="both"/>
        <w:spacing w:line="300" w:lineRule="auto"/>
        <w:tabs>
          <w:tab w:val="left" w:pos="0" w:leader="none"/>
          <w:tab w:val="left" w:pos="1134" w:leader="none"/>
        </w:tabs>
        <w:rPr>
          <w:b w:val="0"/>
          <w:bCs w:val="0"/>
          <w:highlight w:val="none"/>
        </w:rPr>
      </w:pPr>
      <w:r>
        <w:rPr>
          <w:b w:val="0"/>
          <w:bCs w:val="0"/>
          <w:szCs w:val="24"/>
          <w:highlight w:val="none"/>
        </w:rPr>
        <w:t xml:space="preserve">7.1. Настоящее Соглашение вступает в силу с даты подписания его Сторонами и действует </w:t>
      </w:r>
      <w:r>
        <w:rPr>
          <w:b w:val="0"/>
          <w:bCs w:val="0"/>
          <w:szCs w:val="24"/>
          <w:highlight w:val="none"/>
        </w:rPr>
        <w:t xml:space="preserve">до окончания участия в программе ОМС Липецкой области</w:t>
      </w:r>
      <w:r>
        <w:rPr>
          <w:b w:val="0"/>
          <w:bCs w:val="0"/>
          <w:szCs w:val="24"/>
          <w:highlight w:val="none"/>
        </w:rPr>
        <w:t xml:space="preserve">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left="0" w:right="0" w:firstLine="567"/>
        <w:jc w:val="both"/>
        <w:spacing w:line="300" w:lineRule="auto"/>
        <w:tabs>
          <w:tab w:val="left" w:pos="0" w:leader="none"/>
          <w:tab w:val="left" w:pos="1134" w:leader="none"/>
        </w:tabs>
        <w:rPr>
          <w:b w:val="0"/>
          <w:bCs w:val="0"/>
        </w:rPr>
      </w:pPr>
      <w:r>
        <w:rPr>
          <w:b w:val="0"/>
          <w:bCs w:val="0"/>
          <w:szCs w:val="24"/>
          <w:highlight w:val="none"/>
        </w:rPr>
        <w:t xml:space="preserve">7.2. </w:t>
      </w:r>
      <w:r>
        <w:rPr>
          <w:szCs w:val="24"/>
        </w:rPr>
        <w:t xml:space="preserve">Стороны, заключившие настоящее Соглашение, могут договориться о внес</w:t>
      </w:r>
      <w:r>
        <w:rPr>
          <w:szCs w:val="24"/>
        </w:rPr>
        <w:t xml:space="preserve">е</w:t>
      </w:r>
      <w:r>
        <w:rPr>
          <w:szCs w:val="24"/>
        </w:rPr>
        <w:t xml:space="preserve">нии в него дополнительных условий, которые после согласования в письменном виде и подписания становятся частью Соглашения.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0" w:right="0" w:firstLine="567"/>
        <w:jc w:val="both"/>
        <w:spacing w:line="300" w:lineRule="auto"/>
        <w:tabs>
          <w:tab w:val="left" w:pos="0" w:leader="none"/>
          <w:tab w:val="left" w:pos="1134" w:leader="none"/>
        </w:tabs>
        <w:rPr>
          <w:b w:val="0"/>
          <w:bCs w:val="0"/>
        </w:rPr>
      </w:pPr>
      <w:r>
        <w:rPr>
          <w:b w:val="0"/>
          <w:bCs w:val="0"/>
          <w:szCs w:val="24"/>
          <w:highlight w:val="none"/>
        </w:rPr>
        <w:t xml:space="preserve">7.3. </w:t>
      </w:r>
      <w:r>
        <w:rPr>
          <w:b w:val="0"/>
          <w:bCs w:val="0"/>
          <w:szCs w:val="24"/>
          <w:highlight w:val="none"/>
        </w:rPr>
        <w:t xml:space="preserve">Ни одна из Сторон не вправе передавать свои обязательства по настоящему Соглашению третьей стороне.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567" w:firstLine="0"/>
        <w:jc w:val="both"/>
        <w:spacing w:line="300" w:lineRule="auto"/>
        <w:tabs>
          <w:tab w:val="left" w:pos="0" w:leader="none"/>
          <w:tab w:val="left" w:pos="1134" w:leader="none"/>
        </w:tabs>
        <w:rPr>
          <w:b/>
          <w:bCs/>
        </w:rPr>
      </w:pPr>
      <w:r>
        <w:rPr>
          <w:b w:val="0"/>
          <w:bCs w:val="0"/>
          <w:szCs w:val="24"/>
          <w:highlight w:val="none"/>
        </w:rPr>
        <w:t xml:space="preserve">7.4. </w:t>
      </w:r>
      <w:r>
        <w:rPr>
          <w:szCs w:val="24"/>
        </w:rPr>
        <w:t xml:space="preserve">Соглашение может быть расторгнуто:</w:t>
      </w:r>
      <w:r>
        <w:rPr>
          <w:b/>
          <w:bCs/>
        </w:rPr>
      </w:r>
      <w:r>
        <w:rPr>
          <w:b/>
          <w:bCs/>
        </w:rPr>
      </w:r>
    </w:p>
    <w:p>
      <w:pPr>
        <w:numPr>
          <w:ilvl w:val="0"/>
          <w:numId w:val="11"/>
        </w:numPr>
        <w:ind w:left="0" w:firstLine="567"/>
        <w:jc w:val="both"/>
        <w:spacing w:line="300" w:lineRule="auto"/>
        <w:tabs>
          <w:tab w:val="left" w:pos="0" w:leader="none"/>
          <w:tab w:val="left" w:pos="1134" w:leader="none"/>
        </w:tabs>
        <w:rPr>
          <w:szCs w:val="24"/>
        </w:rPr>
      </w:pPr>
      <w:r>
        <w:t xml:space="preserve">а) по инициативе любой из сторон с предупреждением другой стороны в не менее чем за 1 месяц;</w:t>
      </w:r>
      <w:r>
        <w:rPr>
          <w:szCs w:val="24"/>
        </w:rPr>
      </w:r>
    </w:p>
    <w:p>
      <w:pPr>
        <w:numPr>
          <w:ilvl w:val="0"/>
          <w:numId w:val="11"/>
        </w:numPr>
        <w:ind w:left="0" w:firstLine="567"/>
        <w:jc w:val="both"/>
        <w:spacing w:line="300" w:lineRule="auto"/>
        <w:tabs>
          <w:tab w:val="left" w:pos="0" w:leader="none"/>
          <w:tab w:val="left" w:pos="1134" w:leader="none"/>
        </w:tabs>
        <w:rPr>
          <w:szCs w:val="24"/>
        </w:rPr>
      </w:pPr>
      <w:r>
        <w:t xml:space="preserve">б) по другим основаниям, предусмотренным законодательством Российской Федерации.</w:t>
      </w:r>
      <w:r>
        <w:rPr>
          <w:szCs w:val="24"/>
        </w:rPr>
      </w:r>
    </w:p>
    <w:p>
      <w:pPr>
        <w:ind w:firstLine="567"/>
        <w:jc w:val="both"/>
        <w:spacing w:line="300" w:lineRule="auto"/>
        <w:rPr>
          <w:b/>
          <w:bCs/>
          <w:highlight w:val="none"/>
        </w:rPr>
      </w:pPr>
      <w:r>
        <w:rPr>
          <w:szCs w:val="24"/>
        </w:rPr>
        <w:t xml:space="preserve">Соглашение составлено в 2-х экземплярах, каждый из которых </w:t>
      </w:r>
      <w:r>
        <w:rPr>
          <w:szCs w:val="24"/>
        </w:rPr>
        <w:t xml:space="preserve">является по</w:t>
      </w:r>
      <w:r>
        <w:rPr>
          <w:szCs w:val="24"/>
        </w:rPr>
        <w:t xml:space="preserve">д</w:t>
      </w:r>
      <w:r>
        <w:rPr>
          <w:szCs w:val="24"/>
        </w:rPr>
        <w:t xml:space="preserve">линным и имеет</w:t>
      </w:r>
      <w:r>
        <w:rPr>
          <w:szCs w:val="24"/>
        </w:rPr>
        <w:t xml:space="preserve"> одинаковую юридическую силу. Один экземпляр находится в ТФОМС, второй – у Пользователя.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firstLine="567"/>
        <w:jc w:val="both"/>
        <w:spacing w:line="300" w:lineRule="auto"/>
        <w:rPr>
          <w:b/>
          <w:bCs/>
          <w:highlight w:val="none"/>
        </w:rPr>
      </w:pPr>
      <w:r>
        <w:rPr>
          <w:b/>
          <w:szCs w:val="24"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567" w:firstLine="0"/>
        <w:jc w:val="both"/>
        <w:spacing w:line="300" w:lineRule="auto"/>
        <w:tabs>
          <w:tab w:val="left" w:pos="0" w:leader="none"/>
          <w:tab w:val="left" w:pos="1134" w:leader="none"/>
        </w:tabs>
        <w:rPr>
          <w:b/>
          <w:szCs w:val="24"/>
        </w:rPr>
      </w:pPr>
      <w:r>
        <w:rPr>
          <w:b/>
          <w:szCs w:val="24"/>
        </w:rPr>
        <w:t xml:space="preserve">8. Юридические адреса сторон</w:t>
      </w:r>
      <w:r>
        <w:rPr>
          <w:b/>
          <w:szCs w:val="24"/>
        </w:rPr>
      </w:r>
      <w:r>
        <w:rPr>
          <w:b/>
          <w:szCs w:val="24"/>
        </w:rPr>
      </w:r>
    </w:p>
    <w:p>
      <w:pPr>
        <w:jc w:val="both"/>
        <w:spacing w:line="300" w:lineRule="auto"/>
        <w:tabs>
          <w:tab w:val="left" w:pos="1134" w:leader="none"/>
        </w:tabs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tbl>
      <w:tblPr>
        <w:tblpPr w:horzAnchor="margin" w:tblpXSpec="left" w:vertAnchor="text" w:tblpY="153" w:leftFromText="180" w:topFromText="0" w:rightFromText="180" w:bottomFromText="0"/>
        <w:tblW w:w="9720" w:type="dxa"/>
        <w:tblLayout w:type="fixed"/>
        <w:tblLook w:val="04A0" w:firstRow="1" w:lastRow="0" w:firstColumn="1" w:lastColumn="0" w:noHBand="0" w:noVBand="1"/>
      </w:tblPr>
      <w:tblGrid>
        <w:gridCol w:w="820"/>
        <w:gridCol w:w="2198"/>
        <w:gridCol w:w="524"/>
        <w:gridCol w:w="1140"/>
        <w:gridCol w:w="236"/>
        <w:gridCol w:w="846"/>
        <w:gridCol w:w="2219"/>
        <w:gridCol w:w="1737"/>
      </w:tblGrid>
      <w:tr>
        <w:tblPrEx/>
        <w:trPr>
          <w:cantSplit/>
        </w:trPr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Территориальный фонд обязательного м</w:t>
            </w:r>
            <w:r>
              <w:rPr>
                <w:szCs w:val="24"/>
              </w:rPr>
              <w:t xml:space="preserve">е</w:t>
            </w:r>
            <w:r>
              <w:rPr>
                <w:szCs w:val="24"/>
              </w:rPr>
              <w:t xml:space="preserve">дицинского страхования Липецкой обл</w:t>
            </w:r>
            <w:r>
              <w:rPr>
                <w:szCs w:val="24"/>
              </w:rPr>
              <w:t xml:space="preserve">а</w:t>
            </w:r>
            <w:r>
              <w:rPr>
                <w:szCs w:val="24"/>
              </w:rPr>
              <w:t xml:space="preserve">сти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pStyle w:val="902"/>
              <w:spacing w:line="300" w:lineRule="auto"/>
              <w:widowControl w:val="off"/>
              <w:tabs>
                <w:tab w:val="left" w:pos="1122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398059, г. Липецк, </w:t>
            </w:r>
            <w:r>
              <w:rPr>
                <w:szCs w:val="24"/>
              </w:rPr>
              <w:t xml:space="preserve">ул.М.Горького</w:t>
            </w:r>
            <w:r>
              <w:rPr>
                <w:szCs w:val="24"/>
              </w:rPr>
              <w:t xml:space="preserve">, д. 2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902"/>
              <w:spacing w:line="300" w:lineRule="auto"/>
              <w:widowControl w:val="off"/>
              <w:tabs>
                <w:tab w:val="left" w:pos="1122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Телефон: (4742) 25-19-00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Директор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</w:p>
        </w:tc>
      </w:tr>
      <w:tr>
        <w:tblPrEx/>
        <w:trPr>
          <w:cantSplit/>
        </w:trPr>
        <w:tc>
          <w:tcPr>
            <w:gridSpan w:val="2"/>
            <w:shd w:val="clear" w:color="ffffff" w:fill="ffffff"/>
            <w:tcW w:w="3017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_______________________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gridSpan w:val="2"/>
            <w:shd w:val="clear" w:color="ffffff" w:fill="ffffff"/>
            <w:tcW w:w="1664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Г.А.Ражина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right"/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gridSpan w:val="2"/>
            <w:shd w:val="clear" w:color="ffffff" w:fill="ffffff"/>
            <w:tcW w:w="3065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_______________________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1737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W w:w="819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«      »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gridSpan w:val="2"/>
            <w:shd w:val="clear" w:color="ffffff" w:fill="ffffff"/>
            <w:tcW w:w="2722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____________________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1140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202_ г.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shd w:val="clear" w:color="ffffff" w:fill="ffffff"/>
            <w:tcW w:w="84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«      »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gridSpan w:val="2"/>
            <w:shd w:val="clear" w:color="ffffff" w:fill="ffffff"/>
            <w:tcW w:w="395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_____________________ </w:t>
            </w:r>
            <w:r>
              <w:rPr>
                <w:szCs w:val="24"/>
                <w:lang w:val="en-US"/>
              </w:rPr>
              <w:t xml:space="preserve">   </w:t>
            </w:r>
            <w:r>
              <w:rPr>
                <w:szCs w:val="24"/>
              </w:rPr>
              <w:t xml:space="preserve">202_ г.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709"/>
              <w:spacing w:line="300" w:lineRule="auto"/>
              <w:widowControl w:val="off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pStyle w:val="709"/>
              <w:spacing w:line="300" w:lineRule="auto"/>
              <w:widowControl w:val="off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</w:r>
            <w:r>
              <w:rPr>
                <w:b w:val="0"/>
                <w:color w:val="auto"/>
                <w:szCs w:val="24"/>
              </w:rPr>
            </w:r>
            <w:r>
              <w:rPr>
                <w:b w:val="0"/>
                <w:color w:val="auto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М.П.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709"/>
              <w:spacing w:line="300" w:lineRule="auto"/>
              <w:widowControl w:val="off"/>
              <w:rPr>
                <w:rFonts w:eastAsia="Arial Unicode MS"/>
                <w:color w:val="auto"/>
                <w:szCs w:val="24"/>
              </w:rPr>
            </w:pPr>
            <w:r>
              <w:rPr>
                <w:rFonts w:eastAsia="Arial Unicode MS"/>
                <w:color w:val="auto"/>
                <w:szCs w:val="24"/>
              </w:rPr>
            </w:r>
            <w:r>
              <w:rPr>
                <w:rFonts w:eastAsia="Arial Unicode MS"/>
                <w:color w:val="auto"/>
                <w:szCs w:val="24"/>
              </w:rPr>
            </w:r>
            <w:r>
              <w:rPr>
                <w:rFonts w:eastAsia="Arial Unicode MS"/>
                <w:color w:val="auto"/>
                <w:szCs w:val="24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pStyle w:val="709"/>
              <w:spacing w:line="300" w:lineRule="auto"/>
              <w:widowControl w:val="off"/>
              <w:rPr>
                <w:rFonts w:eastAsia="Arial Unicode MS"/>
                <w:b w:val="0"/>
                <w:color w:val="auto"/>
                <w:szCs w:val="24"/>
              </w:rPr>
            </w:pPr>
            <w:r>
              <w:rPr>
                <w:rFonts w:eastAsia="Arial Unicode MS"/>
                <w:b w:val="0"/>
                <w:color w:val="auto"/>
                <w:szCs w:val="24"/>
              </w:rPr>
            </w:r>
            <w:r>
              <w:rPr>
                <w:rFonts w:eastAsia="Arial Unicode MS"/>
                <w:b w:val="0"/>
                <w:color w:val="auto"/>
                <w:szCs w:val="24"/>
              </w:rPr>
            </w:r>
            <w:r>
              <w:rPr>
                <w:rFonts w:eastAsia="Arial Unicode MS"/>
                <w:b w:val="0"/>
                <w:color w:val="auto"/>
                <w:szCs w:val="24"/>
              </w:rPr>
            </w:r>
          </w:p>
          <w:p>
            <w:pPr>
              <w:pStyle w:val="709"/>
              <w:spacing w:line="300" w:lineRule="auto"/>
              <w:widowControl w:val="off"/>
              <w:rPr>
                <w:rFonts w:eastAsia="Arial Unicode MS"/>
                <w:b w:val="0"/>
                <w:color w:val="auto"/>
                <w:szCs w:val="24"/>
              </w:rPr>
            </w:pPr>
            <w:r>
              <w:rPr>
                <w:rFonts w:eastAsia="Arial Unicode MS"/>
                <w:b w:val="0"/>
                <w:color w:val="auto"/>
                <w:szCs w:val="24"/>
              </w:rPr>
              <w:t xml:space="preserve">М.П.</w:t>
            </w:r>
            <w:r>
              <w:rPr>
                <w:rFonts w:eastAsia="Arial Unicode MS"/>
                <w:b w:val="0"/>
                <w:color w:val="auto"/>
                <w:szCs w:val="24"/>
              </w:rPr>
            </w:r>
            <w:r>
              <w:rPr>
                <w:rFonts w:eastAsia="Arial Unicode MS"/>
                <w:b w:val="0"/>
                <w:color w:val="auto"/>
                <w:szCs w:val="24"/>
              </w:rPr>
            </w:r>
          </w:p>
        </w:tc>
      </w:tr>
    </w:tbl>
    <w:p>
      <w:pPr>
        <w:shd w:val="nil" w:color="auto"/>
        <w:rPr>
          <w:b/>
          <w:bCs/>
          <w:highlight w:val="none"/>
        </w:rPr>
      </w:pPr>
      <w:r>
        <w:rPr>
          <w:b/>
          <w:szCs w:val="24"/>
          <w:highlight w:val="none"/>
        </w:rPr>
        <w:br w:type="page" w:clear="all"/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11"/>
        <w:jc w:val="right"/>
        <w:spacing w:line="240" w:lineRule="auto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№1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1"/>
        <w:jc w:val="right"/>
        <w:spacing w:line="240" w:lineRule="auto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Соглашению о защищённом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1"/>
        <w:jc w:val="right"/>
        <w:spacing w:line="240" w:lineRule="auto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информационном взаимодействии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1"/>
        <w:jc w:val="right"/>
        <w:spacing w:line="240" w:lineRule="auto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 «___»___________202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1"/>
        <w:spacing w:line="240" w:lineRule="auto"/>
        <w:widowControl/>
        <w:rPr>
          <w:rStyle w:val="912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912"/>
          <w:rFonts w:ascii="Times New Roman" w:hAnsi="Times New Roman" w:eastAsia="Times New Roman" w:cs="Times New Roman"/>
          <w:b w:val="0"/>
          <w:bCs/>
          <w:sz w:val="24"/>
          <w:szCs w:val="24"/>
          <w:highlight w:val="none"/>
        </w:rPr>
      </w:r>
      <w:r>
        <w:rPr>
          <w:rStyle w:val="912"/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Style w:val="912"/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pStyle w:val="911"/>
        <w:spacing w:line="240" w:lineRule="auto"/>
        <w:widowControl/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2"/>
          <w:rFonts w:ascii="Times New Roman" w:hAnsi="Times New Roman" w:eastAsia="Times New Roman" w:cs="Times New Roman"/>
          <w:b w:val="0"/>
          <w:bCs/>
          <w:sz w:val="24"/>
          <w:szCs w:val="24"/>
          <w:highlight w:val="none"/>
        </w:rPr>
      </w:r>
      <w:r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11"/>
        <w:spacing w:line="240" w:lineRule="auto"/>
        <w:widowControl/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2"/>
          <w:rFonts w:ascii="Times New Roman" w:hAnsi="Times New Roman" w:eastAsia="Times New Roman" w:cs="Times New Roman"/>
          <w:b w:val="0"/>
          <w:bCs/>
          <w:sz w:val="24"/>
          <w:szCs w:val="24"/>
          <w:highlight w:val="none"/>
        </w:rPr>
      </w:r>
      <w:r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11"/>
        <w:spacing w:line="240" w:lineRule="auto"/>
        <w:widowControl/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2"/>
          <w:rFonts w:ascii="Times New Roman" w:hAnsi="Times New Roman" w:eastAsia="Times New Roman" w:cs="Times New Roman"/>
          <w:b w:val="0"/>
          <w:bCs/>
          <w:sz w:val="24"/>
          <w:szCs w:val="24"/>
          <w:highlight w:val="none"/>
        </w:rPr>
      </w:r>
      <w:r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11"/>
        <w:spacing w:line="240" w:lineRule="auto"/>
        <w:widowControl/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2"/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РЕГЛАМЕНТ</w:t>
      </w:r>
      <w:r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11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2"/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по организации защищённого информационного </w:t>
      </w:r>
      <w:r>
        <w:rPr>
          <w:rStyle w:val="912"/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взаимодействия между Территориальным фондом обязательного медицинского страхования Липецкой области и 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11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11"/>
        <w:ind w:left="720" w:firstLine="0"/>
        <w:jc w:val="both"/>
        <w:spacing w:line="240" w:lineRule="auto"/>
        <w:widowControl/>
        <w:rPr>
          <w:rFonts w:ascii="Times New Roman" w:hAnsi="Times New Roman" w:cs="Times New Roman"/>
          <w:b w:val="0"/>
          <w:bCs/>
          <w:szCs w:val="26"/>
        </w:rPr>
      </w:pP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1. Перечень сокращений и определений</w:t>
      </w:r>
      <w:r>
        <w:rPr>
          <w:rFonts w:ascii="Times New Roman" w:hAnsi="Times New Roman" w:cs="Times New Roman"/>
          <w:b w:val="0"/>
          <w:bCs/>
          <w:szCs w:val="26"/>
        </w:rPr>
      </w:r>
      <w:r>
        <w:rPr>
          <w:rFonts w:ascii="Times New Roman" w:hAnsi="Times New Roman" w:cs="Times New Roman"/>
          <w:b w:val="0"/>
          <w:bCs/>
          <w:szCs w:val="26"/>
        </w:rPr>
      </w:r>
    </w:p>
    <w:p>
      <w:pPr>
        <w:pStyle w:val="911"/>
        <w:spacing w:line="240" w:lineRule="auto"/>
        <w:widowControl/>
        <w:rPr>
          <w:rFonts w:ascii="Times New Roman" w:hAnsi="Times New Roman" w:cs="Times New Roman"/>
          <w:b w:val="0"/>
          <w:bCs/>
          <w:szCs w:val="26"/>
        </w:rPr>
      </w:pP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</w:r>
      <w:r>
        <w:rPr>
          <w:rFonts w:ascii="Times New Roman" w:hAnsi="Times New Roman" w:cs="Times New Roman"/>
          <w:b w:val="0"/>
          <w:bCs/>
          <w:szCs w:val="26"/>
        </w:rPr>
      </w:r>
      <w:r>
        <w:rPr>
          <w:rFonts w:ascii="Times New Roman" w:hAnsi="Times New Roman" w:cs="Times New Roman"/>
          <w:b w:val="0"/>
          <w:bCs/>
          <w:szCs w:val="26"/>
        </w:rPr>
      </w:r>
    </w:p>
    <w:p>
      <w:pPr>
        <w:pStyle w:val="911"/>
        <w:ind w:left="0" w:right="0" w:firstLine="709"/>
        <w:jc w:val="left"/>
        <w:spacing w:line="240" w:lineRule="auto"/>
        <w:widowControl/>
        <w:rPr>
          <w:rFonts w:ascii="Times New Roman" w:hAnsi="Times New Roman" w:cs="Times New Roman"/>
          <w:bCs/>
          <w:szCs w:val="26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1.1. Перечень сокращений и определений, используемых в настоящем документе, приведен в Таблице 1</w:t>
      </w:r>
      <w:r>
        <w:rPr>
          <w:rFonts w:ascii="Times New Roman" w:hAnsi="Times New Roman" w:cs="Times New Roman"/>
          <w:bCs/>
          <w:szCs w:val="26"/>
        </w:rPr>
      </w:r>
      <w:r>
        <w:rPr>
          <w:rFonts w:ascii="Times New Roman" w:hAnsi="Times New Roman" w:cs="Times New Roman"/>
          <w:bCs/>
          <w:szCs w:val="26"/>
        </w:rPr>
      </w:r>
    </w:p>
    <w:p>
      <w:pPr>
        <w:pStyle w:val="914"/>
        <w:ind w:left="720"/>
        <w:jc w:val="right"/>
        <w:widowControl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Style w:val="916"/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Таблица </w:t>
      </w:r>
      <w:r>
        <w:rPr>
          <w:rStyle w:val="915"/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1</w:t>
      </w:r>
      <w:r>
        <w:rPr>
          <w:rFonts w:ascii="Times New Roman" w:hAnsi="Times New Roman" w:cs="Times New Roman"/>
          <w:b w:val="0"/>
          <w:bCs/>
          <w:sz w:val="26"/>
          <w:szCs w:val="26"/>
        </w:rPr>
      </w:r>
      <w:r>
        <w:rPr>
          <w:rFonts w:ascii="Times New Roman" w:hAnsi="Times New Roman" w:cs="Times New Roman"/>
          <w:b w:val="0"/>
          <w:bCs/>
          <w:sz w:val="26"/>
          <w:szCs w:val="26"/>
        </w:rPr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1517"/>
        <w:gridCol w:w="7229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textDirection w:val="lrTb"/>
            <w:noWrap w:val="false"/>
          </w:tcPr>
          <w:p>
            <w:pPr>
              <w:pStyle w:val="917"/>
              <w:jc w:val="center"/>
              <w:widowControl/>
              <w:rPr>
                <w:rFonts w:ascii="Times New Roman" w:hAnsi="Times New Roman" w:cs="Times New Roman"/>
                <w:position w:val="-5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position w:val="-5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position w:val="-5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textDirection w:val="lrTb"/>
            <w:noWrap w:val="false"/>
          </w:tcPr>
          <w:p>
            <w:pPr>
              <w:pStyle w:val="917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Сокращение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textDirection w:val="lrTb"/>
            <w:noWrap w:val="false"/>
          </w:tcPr>
          <w:p>
            <w:pPr>
              <w:pStyle w:val="917"/>
              <w:jc w:val="center"/>
              <w:widowControl/>
              <w:rPr>
                <w:rFonts w:ascii="Times New Roman" w:hAnsi="Times New Roman" w:cs="Times New Roman"/>
                <w:bCs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Определение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vertAlign w:val="superscript"/>
              </w:rPr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textDirection w:val="lrTb"/>
            <w:noWrap w:val="false"/>
          </w:tcPr>
          <w:p>
            <w:pPr>
              <w:pStyle w:val="919"/>
              <w:jc w:val="both"/>
              <w:widowControl/>
              <w:rPr>
                <w:rFonts w:ascii="Times New Roman" w:hAnsi="Times New Roman" w:cs="Times New Roman"/>
                <w:b w:val="0"/>
                <w:bCs/>
                <w:spacing w:val="20"/>
                <w:sz w:val="26"/>
                <w:szCs w:val="26"/>
              </w:rPr>
            </w:pPr>
            <w:r>
              <w:rPr>
                <w:rStyle w:val="920"/>
                <w:rFonts w:ascii="Times New Roman" w:hAnsi="Times New Roman" w:eastAsia="Times New Roman" w:cs="Times New Roman"/>
                <w:b w:val="0"/>
                <w:bCs/>
                <w:spacing w:val="2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/>
                <w:spacing w:val="2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/>
                <w:spacing w:val="20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textDirection w:val="lrTb"/>
            <w:noWrap w:val="false"/>
          </w:tcPr>
          <w:p>
            <w:pPr>
              <w:pStyle w:val="921"/>
              <w:jc w:val="left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АП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Абонентский пункт с установленным ПО </w:t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ViPNet</w:t>
            </w:r>
            <w:r>
              <w:rPr>
                <w:rStyle w:val="912"/>
                <w:rFonts w:ascii="Times New Roman" w:hAnsi="Times New Roman" w:eastAsia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vMerge w:val="restart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vMerge w:val="restart"/>
            <w:textDirection w:val="lrTb"/>
            <w:noWrap w:val="false"/>
          </w:tcPr>
          <w:p>
            <w:pPr>
              <w:pStyle w:val="921"/>
              <w:jc w:val="left"/>
              <w:spacing w:line="240" w:lineRule="auto"/>
              <w:widowControl/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АРМ</w:t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vMerge w:val="restart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Автоматизированное рабочее место</w:t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textDirection w:val="lrTb"/>
            <w:noWrap w:val="false"/>
          </w:tcPr>
          <w:p>
            <w:pPr>
              <w:pStyle w:val="921"/>
              <w:jc w:val="left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ПАК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Программно-аппаратный комплекс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textDirection w:val="lrTb"/>
            <w:noWrap w:val="false"/>
          </w:tcPr>
          <w:p>
            <w:pPr>
              <w:pStyle w:val="921"/>
              <w:jc w:val="left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Программное обеспечение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textDirection w:val="lrTb"/>
            <w:noWrap w:val="false"/>
          </w:tcPr>
          <w:p>
            <w:pPr>
              <w:pStyle w:val="921"/>
              <w:jc w:val="left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ЭП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Электронная подпись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textDirection w:val="lrTb"/>
            <w:noWrap w:val="false"/>
          </w:tcPr>
          <w:p>
            <w:pPr>
              <w:pStyle w:val="921"/>
              <w:jc w:val="left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  <w:t xml:space="preserve">MFTP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Протокол передачи информации, используемый в ПО </w:t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ViPNet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textDirection w:val="lrTb"/>
            <w:noWrap w:val="false"/>
          </w:tcPr>
          <w:p>
            <w:pPr>
              <w:pStyle w:val="921"/>
              <w:jc w:val="left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сеть</w:t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  <w:lang w:val="en-US" w:eastAsia="en-US"/>
              </w:rPr>
              <w:t xml:space="preserve"> ViPNet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Защищенная виртуальная сеть, построенная по </w:t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ViPNet</w:t>
            </w: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-технологии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0" w:type="dxa"/>
            <w:textDirection w:val="lrTb"/>
            <w:noWrap w:val="false"/>
          </w:tcPr>
          <w:p>
            <w:pPr>
              <w:pStyle w:val="921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17" w:type="dxa"/>
            <w:textDirection w:val="lrTb"/>
            <w:noWrap w:val="false"/>
          </w:tcPr>
          <w:p>
            <w:pPr>
              <w:pStyle w:val="921"/>
              <w:jc w:val="left"/>
              <w:spacing w:line="240" w:lineRule="auto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922"/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ЭД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229" w:type="dxa"/>
            <w:textDirection w:val="lrTb"/>
            <w:noWrap w:val="false"/>
          </w:tcPr>
          <w:p>
            <w:pPr>
              <w:jc w:val="both"/>
              <w:widowControl/>
              <w:rPr>
                <w:rFonts w:ascii="Times New Roman" w:hAnsi="Times New Roman" w:cs="Times New Roman"/>
                <w:sz w:val="26"/>
                <w:szCs w:val="26"/>
              </w:rPr>
              <w:outlineLvl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Электронный документ - документированная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Style w:val="911"/>
        <w:ind w:left="686"/>
        <w:jc w:val="left"/>
        <w:spacing w:line="240" w:lineRule="auto"/>
        <w:widowControl/>
        <w:rPr>
          <w:rFonts w:ascii="Times New Roman" w:hAnsi="Times New Roman" w:cs="Times New Roman"/>
          <w:b w:val="0"/>
          <w:bCs/>
          <w:szCs w:val="26"/>
        </w:rPr>
      </w:pP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</w:r>
      <w:r>
        <w:rPr>
          <w:rFonts w:ascii="Times New Roman" w:hAnsi="Times New Roman" w:cs="Times New Roman"/>
          <w:b w:val="0"/>
          <w:bCs/>
          <w:szCs w:val="26"/>
        </w:rPr>
      </w:r>
      <w:r>
        <w:rPr>
          <w:rFonts w:ascii="Times New Roman" w:hAnsi="Times New Roman" w:cs="Times New Roman"/>
          <w:b w:val="0"/>
          <w:bCs/>
          <w:szCs w:val="26"/>
        </w:rPr>
      </w:r>
    </w:p>
    <w:p>
      <w:pPr>
        <w:pStyle w:val="911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b w:val="0"/>
          <w:bCs/>
          <w:szCs w:val="26"/>
        </w:rPr>
      </w:pP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2. Общие положения</w:t>
      </w:r>
      <w:r>
        <w:rPr>
          <w:rFonts w:ascii="Times New Roman" w:hAnsi="Times New Roman" w:cs="Times New Roman"/>
          <w:b w:val="0"/>
          <w:bCs/>
          <w:szCs w:val="26"/>
        </w:rPr>
      </w:r>
      <w:r>
        <w:rPr>
          <w:rFonts w:ascii="Times New Roman" w:hAnsi="Times New Roman" w:cs="Times New Roman"/>
          <w:b w:val="0"/>
          <w:bCs/>
          <w:szCs w:val="26"/>
        </w:rPr>
      </w:r>
    </w:p>
    <w:p>
      <w:pPr>
        <w:pStyle w:val="911"/>
        <w:spacing w:line="240" w:lineRule="auto"/>
        <w:widowControl/>
        <w:rPr>
          <w:rFonts w:ascii="Times New Roman" w:hAnsi="Times New Roman" w:cs="Times New Roman"/>
          <w:b w:val="0"/>
          <w:bCs/>
          <w:szCs w:val="26"/>
        </w:rPr>
      </w:pP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</w:r>
      <w:r>
        <w:rPr>
          <w:rFonts w:ascii="Times New Roman" w:hAnsi="Times New Roman" w:cs="Times New Roman"/>
          <w:b w:val="0"/>
          <w:bCs/>
          <w:szCs w:val="26"/>
        </w:rPr>
      </w:r>
      <w:r>
        <w:rPr>
          <w:rFonts w:ascii="Times New Roman" w:hAnsi="Times New Roman" w:cs="Times New Roman"/>
          <w:b w:val="0"/>
          <w:bCs/>
          <w:szCs w:val="26"/>
        </w:rPr>
      </w:r>
    </w:p>
    <w:p>
      <w:pPr>
        <w:pStyle w:val="911"/>
        <w:ind w:left="0" w:right="0" w:firstLine="709"/>
        <w:jc w:val="both"/>
        <w:spacing w:line="240" w:lineRule="auto"/>
        <w:widowControl/>
        <w:rPr>
          <w:rStyle w:val="912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913"/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2.1 В данном документе описан Регламент защищённого информационного взаимодействия между Территориальным фондом обязательного медицинского страхования Липецкой области (далее - ТФОМС Липецкой области) и ______________________________</w:t>
      </w:r>
      <w:r>
        <w:rPr>
          <w:rStyle w:val="912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Style w:val="912"/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911"/>
        <w:jc w:val="both"/>
        <w:spacing w:line="240" w:lineRule="auto"/>
        <w:widowControl/>
        <w:rPr>
          <w:rFonts w:ascii="Times New Roman" w:hAnsi="Times New Roman" w:cs="Times New Roman"/>
          <w:b w:val="0"/>
          <w:color w:val="000000" w:themeColor="text1"/>
          <w:szCs w:val="26"/>
        </w:rPr>
      </w:pPr>
      <w:r>
        <w:rPr>
          <w:rStyle w:val="912"/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</w:rPr>
        <w:t xml:space="preserve">__________________________________</w:t>
      </w:r>
      <w:r>
        <w:rPr>
          <w:rStyle w:val="912"/>
          <w:rFonts w:ascii="Times New Roman" w:hAnsi="Times New Roman" w:eastAsia="Times New Roman" w:cs="Times New Roman"/>
          <w:b w:val="0"/>
          <w:bCs/>
          <w:color w:val="000000" w:themeColor="text1"/>
          <w:sz w:val="24"/>
          <w:szCs w:val="24"/>
        </w:rPr>
        <w:t xml:space="preserve">___________________________________________</w:t>
      </w:r>
      <w:r>
        <w:rPr>
          <w:rFonts w:ascii="Times New Roman" w:hAnsi="Times New Roman" w:cs="Times New Roman"/>
          <w:b w:val="0"/>
          <w:color w:val="000000" w:themeColor="text1"/>
          <w:szCs w:val="26"/>
        </w:rPr>
      </w:r>
      <w:r>
        <w:rPr>
          <w:rFonts w:ascii="Times New Roman" w:hAnsi="Times New Roman" w:cs="Times New Roman"/>
          <w:b w:val="0"/>
          <w:color w:val="000000" w:themeColor="text1"/>
          <w:szCs w:val="26"/>
        </w:rPr>
      </w:r>
    </w:p>
    <w:p>
      <w:pPr>
        <w:pStyle w:val="911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t xml:space="preserve">(далее — МО (Пользователь)), являющийся С</w:t>
      </w:r>
      <w:r>
        <w:t xml:space="preserve">тороной настоящего Соглашения. Термины «МО» и «Пользователь», применяемые соответственно в Регламенте и в Соглашении, относятся к одному и тому же лицу. Взаимодействие осуществляется в электронной форме с использованием ЭП и шифрования (далее — Регламент).</w:t>
      </w:r>
      <w:r>
        <w:rPr>
          <w:rFonts w:ascii="Times New Roman" w:hAnsi="Times New Roman" w:cs="Times New Roman"/>
          <w:szCs w:val="26"/>
        </w:rPr>
      </w:r>
    </w:p>
    <w:p>
      <w:pPr>
        <w:pStyle w:val="911"/>
        <w:ind w:left="0" w:right="0" w:firstLine="709"/>
        <w:jc w:val="both"/>
        <w:spacing w:line="240" w:lineRule="auto"/>
        <w:widowControl/>
      </w:pPr>
      <w:r>
        <w:t xml:space="preserve">2.2 Стороны признают, что используемые ими меры и средства защиты информации, указанные в настоящем Регламенте, достаточны для обеспечения: конфиденциальности информации при взаимодействии Сторон в ра</w:t>
      </w:r>
      <w:r>
        <w:t xml:space="preserve">мках ИС ТФОМС Липецкой области, отсутствия несанкционированных изменений при взаимодействии Сторон в рамках ИС ТФОМС Липецкой области (подтверждение подлинности информации), подтверждение авторства информации (информация исходит от Стороны, её передавшей).</w:t>
      </w:r>
      <w:r/>
    </w:p>
    <w:p>
      <w:pPr>
        <w:pStyle w:val="911"/>
        <w:ind w:left="0" w:right="0" w:firstLine="709"/>
        <w:jc w:val="both"/>
        <w:spacing w:line="240" w:lineRule="auto"/>
        <w:widowControl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2.3.</w:t>
        <w:tab/>
        <w:t xml:space="preserve">Стороны при осуществлении защищённого информационного взаимодействия в рамках ИС ТФОМС Липецкой области обязуются руководствоваться следующими принципами:</w:t>
      </w:r>
      <w:r/>
    </w:p>
    <w:p>
      <w:pPr>
        <w:pStyle w:val="911"/>
        <w:ind w:left="0" w:right="0" w:firstLine="709"/>
        <w:jc w:val="both"/>
        <w:spacing w:line="240" w:lineRule="auto"/>
        <w:widowControl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2.3.1.</w:t>
        <w:tab/>
        <w:t xml:space="preserve">Строгого соблюдения Сторонами законодательства Российской Федерации, нормативных актов в области защиты информации с ограниченным доступом, не содержащих сведений, составляющих государственную тайну.</w:t>
      </w:r>
      <w:r/>
    </w:p>
    <w:p>
      <w:pPr>
        <w:pStyle w:val="911"/>
        <w:ind w:left="0" w:right="0" w:firstLine="709"/>
        <w:jc w:val="both"/>
        <w:spacing w:line="240" w:lineRule="auto"/>
        <w:widowControl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2.3.2.</w:t>
        <w:tab/>
        <w:t xml:space="preserve">Строгого соблюдения Сторонами настоящего Соглашения при осуществлении защищённого информационного взаимодействия.</w:t>
      </w:r>
      <w:r/>
    </w:p>
    <w:p>
      <w:pPr>
        <w:pStyle w:val="911"/>
        <w:ind w:left="0" w:right="0" w:firstLine="709"/>
        <w:jc w:val="both"/>
        <w:spacing w:line="240" w:lineRule="auto"/>
        <w:widowControl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2.3.3.</w:t>
        <w:tab/>
        <w:t xml:space="preserve">Своевременности предоставления информации о нарушениях в работе технических средств, используемых при защищённом информационном взаимодействии.</w:t>
      </w:r>
      <w:r/>
    </w:p>
    <w:p>
      <w:pPr>
        <w:pStyle w:val="911"/>
        <w:ind w:left="0" w:right="0" w:firstLine="709"/>
        <w:jc w:val="both"/>
        <w:spacing w:line="240" w:lineRule="auto"/>
        <w:widowControl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2.3.4.</w:t>
        <w:tab/>
        <w:t xml:space="preserve">Обязательности и безупречности исполнения, достигнутых Сторонами договоренностей.</w:t>
      </w:r>
      <w:r/>
    </w:p>
    <w:p>
      <w:pPr>
        <w:pStyle w:val="911"/>
        <w:ind w:left="0" w:right="0" w:firstLine="709"/>
        <w:jc w:val="both"/>
        <w:spacing w:line="240" w:lineRule="auto"/>
        <w:widowControl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2.4. Защищенное информационное взаимодейс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твие в рамках ИС ТФОМС Липецкой области осуществляется с использованием каналов сети Интернет. Защита информационного взаимодействия осуществляется при помощи системы защиты информации ViPNet, включающей в себя средства криптографической защиты информации.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911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911"/>
        <w:ind w:left="0" w:right="0" w:firstLine="709"/>
        <w:jc w:val="both"/>
        <w:spacing w:line="240" w:lineRule="auto"/>
        <w:widowControl/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3. Права и обязанности Сторон</w:t>
      </w:r>
      <w:r>
        <w:rPr>
          <w:rFonts w:ascii="Times New Roman" w:hAnsi="Times New Roman" w:cs="Times New Roman"/>
          <w:bCs/>
          <w:sz w:val="26"/>
          <w:szCs w:val="26"/>
          <w:highlight w:val="yellow"/>
        </w:rPr>
      </w: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924"/>
        <w:ind w:left="0" w:right="0" w:firstLine="709"/>
        <w:jc w:val="both"/>
        <w:rPr>
          <w:rFonts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3.1. Стороны принимают на себя следующие права и обязанности: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</w:p>
    <w:p>
      <w:pPr>
        <w:pStyle w:val="924"/>
        <w:ind w:left="0" w:right="0" w:firstLine="709"/>
        <w:jc w:val="both"/>
        <w:rPr>
          <w:rFonts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- обеспечить функционирование всего необходимого оборудования со своих сторон, необходимого для информационного взаимодействия;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</w:p>
    <w:p>
      <w:pPr>
        <w:pStyle w:val="924"/>
        <w:ind w:left="0" w:right="0" w:firstLine="709"/>
        <w:jc w:val="both"/>
        <w:rPr>
          <w:rFonts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- немедленно информировать другую сторону о компрометации ключей шифрования и электронной подписи.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</w:p>
    <w:p>
      <w:pPr>
        <w:pStyle w:val="924"/>
        <w:ind w:left="0" w:right="0" w:firstLine="709"/>
        <w:jc w:val="both"/>
        <w:rPr>
          <w:rFonts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- немедленно приостанавливать обмен электронными документами при получении от другой стороны сообщения о компрометации ключей шифрования и электронной подписи;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</w:p>
    <w:p>
      <w:pPr>
        <w:pStyle w:val="924"/>
        <w:ind w:left="0" w:right="0" w:firstLine="709"/>
        <w:jc w:val="both"/>
        <w:rPr>
          <w:rFonts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- соблюдать правила работы и требования эксплуатационной документации на средства защиты информации;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</w:p>
    <w:p>
      <w:pPr>
        <w:pStyle w:val="924"/>
        <w:ind w:left="0" w:right="0" w:firstLine="709"/>
        <w:jc w:val="both"/>
        <w:rPr>
          <w:rFonts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- содержать в исправном состоянии рабочие станции, участвующие в элек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тронном взаимодействии, принимать организационные меры для предотвращения несанкционированного доступа к данным рабочим станциям, установленному на них программному обеспечению и средствам защиты информации, а также в помещения, в которых они установлены;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</w:p>
    <w:p>
      <w:pPr>
        <w:pStyle w:val="924"/>
        <w:ind w:left="0" w:right="0" w:firstLine="709"/>
        <w:jc w:val="both"/>
        <w:rPr>
          <w:rFonts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- не допускать появления на взаимодействующих АРМ вредоносного программного обеспечения; </w:t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auto"/>
          <w:sz w:val="26"/>
          <w:szCs w:val="26"/>
          <w:highlight w:val="none"/>
        </w:rPr>
      </w:r>
    </w:p>
    <w:p>
      <w:pPr>
        <w:pStyle w:val="924"/>
        <w:ind w:left="0" w:righ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- не уничтожать и (или) не модифицировать архивы открытых ключей электронной подписи, электронных документов (в том числе электронные квитанции и журналы регистрации). </w:t>
      </w:r>
      <w:r>
        <w:rPr>
          <w:rFonts w:ascii="Times New Roman" w:hAnsi="Times New Roman" w:cs="Times New Roman"/>
          <w:color w:val="auto"/>
          <w:sz w:val="26"/>
          <w:szCs w:val="26"/>
        </w:rPr>
      </w:r>
      <w:r>
        <w:rPr>
          <w:rFonts w:ascii="Times New Roman" w:hAnsi="Times New Roman" w:cs="Times New Roman"/>
          <w:color w:val="auto"/>
          <w:sz w:val="26"/>
          <w:szCs w:val="26"/>
        </w:rPr>
      </w:r>
    </w:p>
    <w:p>
      <w:pPr>
        <w:pStyle w:val="911"/>
        <w:ind w:left="0" w:right="0" w:firstLine="567"/>
        <w:jc w:val="both"/>
        <w:spacing w:line="240" w:lineRule="auto"/>
        <w:widowControl/>
        <w:rPr>
          <w:rFonts w:ascii="Times New Roman" w:hAnsi="Times New Roman" w:cs="Times New Roman"/>
          <w:b w:val="0"/>
          <w:bCs/>
          <w:szCs w:val="26"/>
        </w:rPr>
      </w:pP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</w:r>
      <w:r>
        <w:rPr>
          <w:rFonts w:ascii="Times New Roman" w:hAnsi="Times New Roman" w:cs="Times New Roman"/>
          <w:b w:val="0"/>
          <w:bCs/>
          <w:szCs w:val="26"/>
        </w:rPr>
      </w:r>
      <w:r>
        <w:rPr>
          <w:rFonts w:ascii="Times New Roman" w:hAnsi="Times New Roman" w:cs="Times New Roman"/>
          <w:b w:val="0"/>
          <w:bCs/>
          <w:szCs w:val="26"/>
        </w:rPr>
      </w:r>
    </w:p>
    <w:p>
      <w:pPr>
        <w:pStyle w:val="911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b w:val="0"/>
          <w:bCs/>
          <w:szCs w:val="26"/>
        </w:rPr>
      </w:pP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4. Основание для создания Регламента</w:t>
      </w:r>
      <w:r>
        <w:rPr>
          <w:rFonts w:ascii="Times New Roman" w:hAnsi="Times New Roman" w:cs="Times New Roman"/>
          <w:b w:val="0"/>
          <w:bCs/>
          <w:szCs w:val="26"/>
        </w:rPr>
      </w:r>
      <w:r>
        <w:rPr>
          <w:rFonts w:ascii="Times New Roman" w:hAnsi="Times New Roman" w:cs="Times New Roman"/>
          <w:b w:val="0"/>
          <w:bCs/>
          <w:szCs w:val="26"/>
        </w:rPr>
      </w:r>
    </w:p>
    <w:p>
      <w:pPr>
        <w:ind w:left="0" w:right="0" w:firstLine="709"/>
        <w:jc w:val="both"/>
        <w:spacing w:line="300" w:lineRule="auto"/>
        <w:rPr>
          <w:highlight w:val="none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4.1 Регламент разработан во исполнение: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- </w:t>
      </w:r>
      <w:r>
        <w:rPr>
          <w:szCs w:val="24"/>
          <w:highlight w:val="none"/>
        </w:rPr>
        <w:t xml:space="preserve">Федерального закона от 27.07.2006 г. № 152-ФЗ «О персональных данных»;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szCs w:val="24"/>
          <w:highlight w:val="none"/>
        </w:rPr>
        <w:t xml:space="preserve">- Ф</w:t>
      </w:r>
      <w:r>
        <w:rPr>
          <w:szCs w:val="24"/>
          <w:highlight w:val="none"/>
        </w:rPr>
        <w:t xml:space="preserve">едерального закона от 27.07.2006 г. №149-ФЗ «Об информации, информационных технологиях и о защите информации»</w:t>
      </w:r>
      <w:r>
        <w:rPr>
          <w:szCs w:val="24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- </w:t>
      </w:r>
      <w:r>
        <w:rPr>
          <w:szCs w:val="24"/>
          <w:highlight w:val="none"/>
        </w:rPr>
        <w:t xml:space="preserve">Федерального закона от 06.04.2011 №63-ФЗ «Об электронной подписи»;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709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- Постановления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  <w:r>
        <w:rPr>
          <w:highlight w:val="none"/>
        </w:rPr>
      </w:r>
      <w:r>
        <w:rPr>
          <w:highlight w:val="none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sz w:val="24"/>
          <w:szCs w:val="24"/>
        </w:rPr>
      </w:pPr>
      <w:r>
        <w:rPr>
          <w:szCs w:val="24"/>
          <w:highlight w:val="none"/>
        </w:rPr>
        <w:t xml:space="preserve">- </w:t>
      </w:r>
      <w:r>
        <w:rPr>
          <w:szCs w:val="24"/>
          <w:highlight w:val="none"/>
        </w:rPr>
        <w:t xml:space="preserve">Пр</w:t>
      </w:r>
      <w:r>
        <w:rPr>
          <w:szCs w:val="24"/>
          <w:highlight w:val="none"/>
        </w:rPr>
        <w:t xml:space="preserve">иказа Федеральной службы по техническому и экспортному контролю России №117 от 11 апреля 2025 года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</w:t>
      </w:r>
      <w:r>
        <w:rPr>
          <w:szCs w:val="24"/>
          <w:highlight w:val="none"/>
        </w:rPr>
        <w:t xml:space="preserve">, государственных унитарных предприятий, государственных учреждений»</w:t>
      </w:r>
      <w:r>
        <w:rPr>
          <w:szCs w:val="24"/>
          <w:highlight w:val="none"/>
        </w:rPr>
        <w:t xml:space="preserve">.</w:t>
      </w:r>
      <w:r>
        <w:rPr>
          <w:rStyle w:val="913"/>
          <w:rFonts w:ascii="Times New Roman" w:hAnsi="Times New Roman" w:eastAsia="Times New Roman" w:cs="Times New Roman"/>
          <w:sz w:val="24"/>
          <w:szCs w:val="24"/>
        </w:rPr>
      </w:r>
      <w:r>
        <w:rPr>
          <w:rStyle w:val="913"/>
          <w:rFonts w:ascii="Times New Roman" w:hAnsi="Times New Roman" w:eastAsia="Times New Roman" w:cs="Times New Roman"/>
          <w:sz w:val="24"/>
          <w:szCs w:val="24"/>
        </w:rPr>
      </w:r>
    </w:p>
    <w:p>
      <w:pPr>
        <w:pStyle w:val="923"/>
        <w:ind w:right="72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5"/>
        <w:ind w:left="0" w:right="0" w:firstLine="709"/>
        <w:jc w:val="both"/>
        <w:spacing w:line="240" w:lineRule="auto"/>
        <w:widowControl/>
        <w:tabs>
          <w:tab w:val="left" w:pos="1123" w:leader="none"/>
        </w:tabs>
        <w:rPr>
          <w:rFonts w:ascii="Times New Roman" w:hAnsi="Times New Roman" w:cs="Times New Roman"/>
          <w:b w:val="0"/>
          <w:bCs/>
          <w:szCs w:val="26"/>
        </w:rPr>
      </w:pP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5. Назначение Регламента</w:t>
      </w:r>
      <w:r>
        <w:rPr>
          <w:rFonts w:ascii="Times New Roman" w:hAnsi="Times New Roman" w:cs="Times New Roman"/>
          <w:b w:val="0"/>
          <w:bCs/>
          <w:szCs w:val="26"/>
        </w:rPr>
      </w:r>
      <w:r>
        <w:rPr>
          <w:rFonts w:ascii="Times New Roman" w:hAnsi="Times New Roman" w:cs="Times New Roman"/>
          <w:b w:val="0"/>
          <w:bCs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t xml:space="preserve">5.1 Регламент предназначен для ор</w:t>
      </w:r>
      <w:r>
        <w:t xml:space="preserve">ганизации защищённого обмена электронными документами между ТФОМС Липецкой области и МО с использованием сети Интернет, на базе развернутых в ТФОМС Липецкой области и МО АП сети ViPNet и СКЗИ «КриптоПро CSP», включающих средства шифрования информации и ЭП.</w:t>
      </w:r>
      <w:r>
        <w:rPr>
          <w:rFonts w:ascii="Times New Roman" w:hAnsi="Times New Roman" w:cs="Times New Roman"/>
          <w:szCs w:val="26"/>
        </w:rPr>
      </w:r>
    </w:p>
    <w:p>
      <w:pPr>
        <w:pStyle w:val="923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b/>
          <w:bCs/>
          <w:sz w:val="24"/>
          <w:szCs w:val="24"/>
        </w:rPr>
        <w:t xml:space="preserve">6. Технические условия</w:t>
      </w:r>
      <w:r>
        <w:rPr>
          <w:rStyle w:val="913"/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Style w:val="913"/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6.1.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Стороны за свой счет приобретают, устанавливают и обеспечивают работоспособность необходимого программного обеспечения и средств защиты информации.</w:t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6.2. Стороны самостоятельно оплачивают средства связи и каналы связи, необходимые для организации защищённого обмена ЭД.</w:t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6.3 Выдача сертификатов ключей ЭП работникам Сторон - абонентам сети ViPNet - осуществляется администратором безопасности сети ViPNet, в соответствии с действующими инструкциями по обеспечению безопасности информации. </w:t>
      </w:r>
      <w:r/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6.4 Выдача сертификатов ключей ЭП работникам Сторон – пользователям СКЗИ «КриптоПро CSP» производится Удостоверяющим центром в соответствии с действующим договором о предоставлении услуг Удостоверяющим центром и Регламентом Удостоверяющего центра.</w:t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6.5 Требования к средствам защиты информации и программному обеспечению:</w:t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6.5.1. Программное обеспечение для создания виртуальных защищённых сетей – ViPNet Client актуальной сертифицированной версии.</w:t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6.5.2. Требования к операционной системе: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- На АРМ должна быть установлена сертифицированная российская операционная система с действующим сертификатом ФСТЭК России, совместимая с программным комплексом ViPNet;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6.5.3. Требования к техническим средствам защиты информации: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t xml:space="preserve">- На АРМ должно быть установлено антивирусное программное обеспечение, сертифицированное ФСТЭК России;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t xml:space="preserve">- На АРМ должно быть установлено и настроено средство защиты от несанкционированного доступа серт</w:t>
      </w:r>
      <w:r>
        <w:t xml:space="preserve">ифицированное ФСТЭК России или данный функционал может быть реализован встроенными средствами сертифицированной отечественной ОС (класса защиты не ниже ИТ.ОС.А4.УД4 или ИТ.ОС.Б4.УД4) и подтвержден формуляром, заверенным производителем операционной системы;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- Должен быть обеспечен контроль целостности программной среды АРМ до загрузки операционной системы. Контроль целостности может быть реализован одним из следующих способов: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а) установкой сертифицированного ФСТЭК России модуля доверенной загрузки (МДЗ);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б) при невозможности установки МДЗ по техническим причинам — установкой сложного пароля на UEFI/BIOS, опечатыванием АРМ и контролем за вскрытием технических средств, а также включением механизмов контроля целостности, встроенных в сертифицированную ОС.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Выбранный способ фиксируется в Акте технической готовности (Приложение № 2).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- На АРМ должен быть установлен криптовайдер КриптоПро CSP сертифицированной версии.</w:t>
      </w:r>
      <w:r/>
    </w:p>
    <w:p>
      <w:pPr>
        <w:pStyle w:val="923"/>
        <w:ind w:left="0" w:right="0" w:firstLine="709"/>
        <w:jc w:val="both"/>
        <w:spacing w:line="240" w:lineRule="auto"/>
        <w:widowControl/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6.5.4. Требования к дополнительному программному обеспечению:</w:t>
      </w:r>
      <w:r/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- На АРМ для взаимодействия с ИС ПУМП ТФОМС ЛО должен быть установлен один из следующих браузеров: Chromium Gost, Яндекс Браузер.</w:t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13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23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3"/>
          <w:rFonts w:ascii="Times New Roman" w:hAnsi="Times New Roman" w:eastAsia="Times New Roman" w:cs="Times New Roman"/>
          <w:b/>
          <w:bCs/>
          <w:sz w:val="24"/>
          <w:szCs w:val="24"/>
        </w:rPr>
        <w:t xml:space="preserve">7. Передача и хранение электронных документов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t xml:space="preserve">7.1. Передача ЭД осуществляется с использованием защищённых каналов связи, построенных на технологиях ViPNet.</w:t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7.2. Передача ЭД осуществляется между АП МО и ТФОМС Липецкой области, находящимися в сети ViPN</w:t>
      </w: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et № 641. Допускается использование ViPNet-клиентов других сетей в рамках межсетевого взаимодействия при условии, что МО является собственником такой сети ViPNet и обеспечивает эквивалентный уровень защиты информации, в соответствии с п. 5.2.11 Соглашения.</w:t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7.3. Стороны должны обеспечить защиту от несанкционированного доступа и непреднамеренного уничтожения и/или искажения учетных данных, содержащихся в электронных журналах регистрации ЭД ПО ViPNet. 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7.4. Все ЭД должны храниться в течение сроков, предусмотренных законодательством Российской Федерации, нормативными документами сторон, а в случае возникновения споров - до их разрешения.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7.5. Если одна из Сторон предъявляет другой Стороне претензии по электронному документу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при наличии Извещения, подписанного ЭП другой Стороны, о получении такого документа, а другая Сторона не может представить архивную копию спорного электронного документа, то виновной признается Сторона, не представившая архивную копию спорного документа.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7.6. Обязанности по организации архивов ЭД возлагаются на каждую из Сторон, в части их касающейся. Электронные архивы подлежат защите от несанкционированного доступа и непреднамеренного уничтожения и/или искажения.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8. Подтверждение достоверности и подлинности передаваемых электронных документов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67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8.1 Подтверждение достоверности, подлинности и авторства передаваемых ЭД обеспечивается средствами ПО </w:t>
      </w:r>
      <w:r>
        <w:rPr>
          <w:rStyle w:val="913"/>
          <w:rFonts w:ascii="Times New Roman" w:hAnsi="Times New Roman" w:eastAsia="Times New Roman" w:cs="Times New Roman"/>
          <w:sz w:val="24"/>
          <w:szCs w:val="24"/>
          <w:lang w:val="en-US"/>
        </w:rPr>
        <w:t xml:space="preserve">ViPNet</w:t>
      </w: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, а также средствами ЭП СКЗИ «КриптоПро </w:t>
      </w:r>
      <w:r>
        <w:rPr>
          <w:rStyle w:val="913"/>
          <w:rFonts w:ascii="Times New Roman" w:hAnsi="Times New Roman" w:eastAsia="Times New Roman" w:cs="Times New Roman"/>
          <w:sz w:val="24"/>
          <w:szCs w:val="24"/>
          <w:lang w:val="en-US"/>
        </w:rPr>
        <w:t xml:space="preserve">CSP</w:t>
      </w: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», предоставляемой Удостоверяющим центром, в соответствии с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действующим договором о предоставлении услуг Удостоверяющим центром и Регламентом Удостоверяющего центра.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right="67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67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9. Подтверждение приема</w:t>
      </w: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/</w:t>
      </w: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передачи электронных документов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9.1. Подтверждение приема/передачи </w:t>
      </w:r>
      <w:r>
        <w:rPr>
          <w:rStyle w:val="912"/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ЭД</w:t>
      </w: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 обеспечивается средствами ПО </w:t>
      </w:r>
      <w:r>
        <w:rPr>
          <w:rStyle w:val="913"/>
          <w:rFonts w:ascii="Times New Roman" w:hAnsi="Times New Roman" w:eastAsia="Times New Roman" w:cs="Times New Roman"/>
          <w:sz w:val="24"/>
          <w:szCs w:val="24"/>
          <w:lang w:val="en-US"/>
        </w:rPr>
        <w:t xml:space="preserve">ViPNet</w:t>
      </w: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Style w:val="913"/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Style w:val="913"/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Style w:val="913"/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Style w:val="913"/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9.2 В случае загрузки данных непосредственно в ИС ТФОМС Липецкой области подтверждение загрузки данных осуществляется в соответствии с журналом действий пользователя.</w:t>
      </w:r>
      <w:r>
        <w:rPr>
          <w:rStyle w:val="913"/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Style w:val="913"/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923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bCs/>
          <w:szCs w:val="26"/>
        </w:rPr>
      </w:pPr>
      <w:r>
        <w:rPr>
          <w:rStyle w:val="913"/>
          <w:rFonts w:ascii="Times New Roman" w:hAnsi="Times New Roman" w:eastAsia="Times New Roman" w:cs="Times New Roman"/>
          <w:b/>
          <w:bCs/>
          <w:sz w:val="24"/>
          <w:szCs w:val="24"/>
        </w:rPr>
        <w:t xml:space="preserve">10. Компрометацией ключей </w:t>
      </w:r>
      <w:r>
        <w:rPr>
          <w:rStyle w:val="912"/>
          <w:rFonts w:ascii="Times New Roman" w:hAnsi="Times New Roman" w:eastAsia="Times New Roman" w:cs="Times New Roman"/>
          <w:b/>
          <w:bCs/>
          <w:sz w:val="24"/>
          <w:szCs w:val="24"/>
        </w:rPr>
        <w:t xml:space="preserve">пользователей</w:t>
      </w:r>
      <w:r>
        <w:rPr>
          <w:rFonts w:ascii="Times New Roman" w:hAnsi="Times New Roman" w:cs="Times New Roman"/>
          <w:bCs/>
          <w:szCs w:val="26"/>
        </w:rPr>
      </w:r>
      <w:r>
        <w:rPr>
          <w:rFonts w:ascii="Times New Roman" w:hAnsi="Times New Roman" w:cs="Times New Roman"/>
          <w:bCs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rPr>
          <w:rStyle w:val="913"/>
          <w:rFonts w:ascii="Times New Roman" w:hAnsi="Times New Roman" w:eastAsia="Times New Roman" w:cs="Times New Roman"/>
          <w:sz w:val="24"/>
          <w:szCs w:val="24"/>
        </w:rPr>
        <w:t xml:space="preserve">10.1. Под компрометацией ключей подразумевается утрата доверия к тому, что используемые ключи обеспечивают безопасность информации (целостность, конфиденциальность, подтверждение авторства, невозможность отказа от авторства).</w:t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t xml:space="preserve">10.2. Основные события, квалифицируемые как компрометация ключей, перечислены в «Руководстве администратора ViPNet», а также в Регламенте Удостоверяющего центра.</w:t>
      </w:r>
      <w:r>
        <w:rPr>
          <w:rFonts w:ascii="Times New Roman" w:hAnsi="Times New Roman" w:cs="Times New Roman"/>
          <w:szCs w:val="26"/>
        </w:rPr>
      </w:r>
    </w:p>
    <w:p>
      <w:pPr>
        <w:pStyle w:val="923"/>
        <w:ind w:left="0" w:right="0" w:firstLine="709"/>
        <w:jc w:val="both"/>
        <w:spacing w:line="240" w:lineRule="auto"/>
        <w:widowControl/>
        <w:rPr>
          <w:rFonts w:ascii="Times New Roman" w:hAnsi="Times New Roman" w:cs="Times New Roman"/>
          <w:szCs w:val="26"/>
        </w:rPr>
      </w:pPr>
      <w:r>
        <w:t xml:space="preserve">10.3. При наступлении лю</w:t>
      </w:r>
      <w:r>
        <w:t xml:space="preserve">бого из перечисленных событий пользователь (участник информационного взаимодействия) должен немедленно прекратить работу на своем АП и сообщить о факте компрометации (или предполагаемом факте компрометации) Удостоверяющий центр, выпустивший сертификаты ЭП.</w:t>
      </w:r>
      <w:r>
        <w:rPr>
          <w:rFonts w:ascii="Times New Roman" w:hAnsi="Times New Roman" w:cs="Times New Roman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rPr>
          <w:sz w:val="26"/>
          <w:szCs w:val="26"/>
          <w:highlight w:val="none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11. Адреса и реквизиты Сторон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tbl>
      <w:tblPr>
        <w:tblpPr w:horzAnchor="margin" w:tblpXSpec="left" w:vertAnchor="text" w:tblpY="153" w:leftFromText="180" w:topFromText="0" w:rightFromText="180" w:bottomFromText="0"/>
        <w:tblW w:w="9720" w:type="dxa"/>
        <w:tblLayout w:type="fixed"/>
        <w:tblLook w:val="04A0" w:firstRow="1" w:lastRow="0" w:firstColumn="1" w:lastColumn="0" w:noHBand="0" w:noVBand="1"/>
      </w:tblPr>
      <w:tblGrid>
        <w:gridCol w:w="820"/>
        <w:gridCol w:w="2198"/>
        <w:gridCol w:w="524"/>
        <w:gridCol w:w="1140"/>
        <w:gridCol w:w="236"/>
        <w:gridCol w:w="846"/>
        <w:gridCol w:w="2219"/>
        <w:gridCol w:w="1737"/>
      </w:tblGrid>
      <w:tr>
        <w:tblPrEx/>
        <w:trPr>
          <w:cantSplit/>
        </w:trPr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Территориальный фонд обязательного м</w:t>
            </w:r>
            <w:r>
              <w:rPr>
                <w:szCs w:val="24"/>
              </w:rPr>
              <w:t xml:space="preserve">е</w:t>
            </w:r>
            <w:r>
              <w:rPr>
                <w:szCs w:val="24"/>
              </w:rPr>
              <w:t xml:space="preserve">дицинского страхования Липецкой обл</w:t>
            </w:r>
            <w:r>
              <w:rPr>
                <w:szCs w:val="24"/>
              </w:rPr>
              <w:t xml:space="preserve">а</w:t>
            </w:r>
            <w:r>
              <w:rPr>
                <w:szCs w:val="24"/>
              </w:rPr>
              <w:t xml:space="preserve">сти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  <w:r>
              <w:rPr>
                <w:bCs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pStyle w:val="902"/>
              <w:spacing w:line="300" w:lineRule="auto"/>
              <w:widowControl w:val="off"/>
              <w:tabs>
                <w:tab w:val="left" w:pos="1122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398059, г. Липецк, </w:t>
            </w:r>
            <w:r>
              <w:rPr>
                <w:szCs w:val="24"/>
              </w:rPr>
              <w:t xml:space="preserve">ул.М.Горького</w:t>
            </w:r>
            <w:r>
              <w:rPr>
                <w:szCs w:val="24"/>
              </w:rPr>
              <w:t xml:space="preserve">, д. 2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902"/>
              <w:spacing w:line="300" w:lineRule="auto"/>
              <w:widowControl w:val="off"/>
              <w:tabs>
                <w:tab w:val="left" w:pos="1122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Телефон: (4742) 25-19-00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Директор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bCs/>
                <w:szCs w:val="24"/>
                <w:u w:val="single"/>
              </w:rPr>
            </w:pP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  <w:r>
              <w:rPr>
                <w:b/>
                <w:bCs/>
                <w:szCs w:val="24"/>
                <w:u w:val="single"/>
              </w:rPr>
            </w:r>
          </w:p>
        </w:tc>
      </w:tr>
      <w:tr>
        <w:tblPrEx/>
        <w:trPr>
          <w:cantSplit/>
        </w:trPr>
        <w:tc>
          <w:tcPr>
            <w:gridSpan w:val="2"/>
            <w:shd w:val="clear" w:color="ffffff" w:fill="ffffff"/>
            <w:tcW w:w="3017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_______________________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gridSpan w:val="2"/>
            <w:shd w:val="clear" w:color="ffffff" w:fill="ffffff"/>
            <w:tcW w:w="1664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Г.А.Ражина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right"/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gridSpan w:val="2"/>
            <w:shd w:val="clear" w:color="ffffff" w:fill="ffffff"/>
            <w:tcW w:w="3065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_______________________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1737" w:type="dxa"/>
            <w:textDirection w:val="lrTb"/>
            <w:noWrap w:val="false"/>
          </w:tcPr>
          <w:p>
            <w:pPr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>
          <w:cantSplit/>
        </w:trPr>
        <w:tc>
          <w:tcPr>
            <w:shd w:val="clear" w:color="ffffff" w:fill="ffffff"/>
            <w:tcW w:w="819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«      »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gridSpan w:val="2"/>
            <w:shd w:val="clear" w:color="ffffff" w:fill="ffffff"/>
            <w:tcW w:w="2722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____________________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1140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202_ г.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</w:r>
          </w:p>
        </w:tc>
        <w:tc>
          <w:tcPr>
            <w:shd w:val="clear" w:color="ffffff" w:fill="ffffff"/>
            <w:tcW w:w="84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«      »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gridSpan w:val="2"/>
            <w:shd w:val="clear" w:color="ffffff" w:fill="ffffff"/>
            <w:tcW w:w="3956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_____________________ </w:t>
            </w:r>
            <w:r>
              <w:rPr>
                <w:szCs w:val="24"/>
                <w:lang w:val="en-US"/>
              </w:rPr>
              <w:t xml:space="preserve">   </w:t>
            </w:r>
            <w:r>
              <w:rPr>
                <w:szCs w:val="24"/>
              </w:rPr>
              <w:t xml:space="preserve">202_ г.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709"/>
              <w:spacing w:line="300" w:lineRule="auto"/>
              <w:widowControl w:val="off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  <w:r>
              <w:rPr>
                <w:color w:val="auto"/>
                <w:szCs w:val="24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pStyle w:val="709"/>
              <w:spacing w:line="300" w:lineRule="auto"/>
              <w:widowControl w:val="off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</w:r>
            <w:r>
              <w:rPr>
                <w:b w:val="0"/>
                <w:color w:val="auto"/>
                <w:szCs w:val="24"/>
              </w:rPr>
            </w:r>
            <w:r>
              <w:rPr>
                <w:b w:val="0"/>
                <w:color w:val="auto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W w:w="4681" w:type="dxa"/>
            <w:textDirection w:val="lrTb"/>
            <w:noWrap w:val="false"/>
          </w:tcPr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jc w:val="both"/>
              <w:spacing w:line="300" w:lineRule="auto"/>
              <w:widowControl w:val="off"/>
              <w:rPr>
                <w:szCs w:val="24"/>
              </w:rPr>
            </w:pPr>
            <w:r>
              <w:rPr>
                <w:szCs w:val="24"/>
              </w:rPr>
              <w:t xml:space="preserve">М.П.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shd w:val="clear" w:color="ffffff" w:fill="ffffff"/>
            <w:tcW w:w="236" w:type="dxa"/>
            <w:textDirection w:val="lrTb"/>
            <w:noWrap w:val="false"/>
          </w:tcPr>
          <w:p>
            <w:pPr>
              <w:pStyle w:val="709"/>
              <w:spacing w:line="300" w:lineRule="auto"/>
              <w:widowControl w:val="off"/>
              <w:rPr>
                <w:rFonts w:eastAsia="Arial Unicode MS"/>
                <w:color w:val="auto"/>
                <w:szCs w:val="24"/>
              </w:rPr>
            </w:pPr>
            <w:r>
              <w:rPr>
                <w:rFonts w:eastAsia="Arial Unicode MS"/>
                <w:color w:val="auto"/>
                <w:szCs w:val="24"/>
              </w:rPr>
            </w:r>
            <w:r>
              <w:rPr>
                <w:rFonts w:eastAsia="Arial Unicode MS"/>
                <w:color w:val="auto"/>
                <w:szCs w:val="24"/>
              </w:rPr>
            </w:r>
            <w:r>
              <w:rPr>
                <w:rFonts w:eastAsia="Arial Unicode MS"/>
                <w:color w:val="auto"/>
                <w:szCs w:val="24"/>
              </w:rPr>
            </w:r>
          </w:p>
        </w:tc>
        <w:tc>
          <w:tcPr>
            <w:gridSpan w:val="3"/>
            <w:shd w:val="clear" w:color="ffffff" w:fill="ffffff"/>
            <w:tcW w:w="4802" w:type="dxa"/>
            <w:textDirection w:val="lrTb"/>
            <w:noWrap w:val="false"/>
          </w:tcPr>
          <w:p>
            <w:pPr>
              <w:pStyle w:val="709"/>
              <w:spacing w:line="300" w:lineRule="auto"/>
              <w:widowControl w:val="off"/>
              <w:rPr>
                <w:rFonts w:eastAsia="Arial Unicode MS"/>
                <w:b w:val="0"/>
                <w:color w:val="auto"/>
                <w:szCs w:val="24"/>
              </w:rPr>
            </w:pPr>
            <w:r>
              <w:rPr>
                <w:rFonts w:eastAsia="Arial Unicode MS"/>
                <w:b w:val="0"/>
                <w:color w:val="auto"/>
                <w:szCs w:val="24"/>
              </w:rPr>
            </w:r>
            <w:r>
              <w:rPr>
                <w:rFonts w:eastAsia="Arial Unicode MS"/>
                <w:b w:val="0"/>
                <w:color w:val="auto"/>
                <w:szCs w:val="24"/>
              </w:rPr>
            </w:r>
            <w:r>
              <w:rPr>
                <w:rFonts w:eastAsia="Arial Unicode MS"/>
                <w:b w:val="0"/>
                <w:color w:val="auto"/>
                <w:szCs w:val="24"/>
              </w:rPr>
            </w:r>
          </w:p>
          <w:p>
            <w:pPr>
              <w:pStyle w:val="709"/>
              <w:spacing w:line="300" w:lineRule="auto"/>
              <w:widowControl w:val="off"/>
              <w:rPr>
                <w:rFonts w:eastAsia="Arial Unicode MS"/>
                <w:b w:val="0"/>
                <w:color w:val="auto"/>
                <w:szCs w:val="24"/>
              </w:rPr>
            </w:pPr>
            <w:r>
              <w:rPr>
                <w:rFonts w:eastAsia="Arial Unicode MS"/>
                <w:b w:val="0"/>
                <w:color w:val="auto"/>
                <w:szCs w:val="24"/>
              </w:rPr>
              <w:t xml:space="preserve">М.П.</w:t>
            </w:r>
            <w:r>
              <w:rPr>
                <w:rFonts w:eastAsia="Arial Unicode MS"/>
                <w:b w:val="0"/>
                <w:color w:val="auto"/>
                <w:szCs w:val="24"/>
              </w:rPr>
            </w:r>
            <w:r>
              <w:rPr>
                <w:rFonts w:eastAsia="Arial Unicode MS"/>
                <w:b w:val="0"/>
                <w:color w:val="auto"/>
                <w:szCs w:val="24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br w:type="page" w:clear="all"/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1"/>
        <w:jc w:val="right"/>
        <w:spacing w:line="240" w:lineRule="auto"/>
        <w:widowControl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№2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911"/>
        <w:jc w:val="right"/>
        <w:spacing w:line="240" w:lineRule="auto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 Соглашению о защищённом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1"/>
        <w:jc w:val="right"/>
        <w:spacing w:line="240" w:lineRule="auto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информационном взаимодействии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67"/>
        <w:jc w:val="right"/>
        <w:spacing w:line="300" w:lineRule="auto"/>
        <w:rPr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 «___»___________202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</w:t>
      </w:r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center"/>
        <w:spacing w:line="300" w:lineRule="auto"/>
      </w:pPr>
      <w:r>
        <w:rPr>
          <w:szCs w:val="24"/>
          <w:highlight w:val="none"/>
        </w:rPr>
        <w:t xml:space="preserve">ФОРМА АКТА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</w:r>
      <w:r/>
    </w:p>
    <w:p>
      <w:pPr>
        <w:ind w:firstLine="567"/>
        <w:jc w:val="center"/>
        <w:spacing w:line="300" w:lineRule="auto"/>
      </w:pPr>
      <w:r>
        <w:rPr>
          <w:szCs w:val="24"/>
          <w:highlight w:val="none"/>
        </w:rPr>
        <w:t xml:space="preserve">АКТ</w:t>
      </w:r>
      <w:r/>
    </w:p>
    <w:p>
      <w:pPr>
        <w:ind w:firstLine="567"/>
        <w:jc w:val="center"/>
        <w:spacing w:line="300" w:lineRule="auto"/>
      </w:pPr>
      <w:r>
        <w:rPr>
          <w:szCs w:val="24"/>
          <w:highlight w:val="none"/>
        </w:rPr>
        <w:t xml:space="preserve">технической готовности и соответствия автоматизированного рабочего места (АРМ)</w:t>
      </w:r>
      <w:r/>
    </w:p>
    <w:p>
      <w:pPr>
        <w:ind w:firstLine="567"/>
        <w:jc w:val="center"/>
        <w:spacing w:line="300" w:lineRule="auto"/>
      </w:pPr>
      <w:r>
        <w:rPr>
          <w:szCs w:val="24"/>
          <w:highlight w:val="none"/>
        </w:rPr>
        <w:t xml:space="preserve">требованиям безопасности информации</w:t>
      </w:r>
      <w:r/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г. Липецк                            «___» ____________ 202_ г.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Мы, нижеподписавшиеся, представители со стороны: __________________________</w:t>
      </w:r>
      <w:r/>
    </w:p>
    <w:p>
      <w:pPr>
        <w:ind w:firstLine="0"/>
        <w:jc w:val="both"/>
        <w:spacing w:line="300" w:lineRule="auto"/>
      </w:pPr>
      <w:r>
        <w:rPr>
          <w:szCs w:val="24"/>
          <w:highlight w:val="none"/>
        </w:rPr>
        <w:t xml:space="preserve">_____________________________________________________________________________</w:t>
      </w:r>
      <w:r/>
    </w:p>
    <w:p>
      <w:pPr>
        <w:ind w:firstLine="567"/>
        <w:jc w:val="center"/>
        <w:spacing w:line="300" w:lineRule="auto"/>
        <w:rPr>
          <w:sz w:val="20"/>
          <w:szCs w:val="20"/>
        </w:rPr>
      </w:pPr>
      <w:r>
        <w:rPr>
          <w:sz w:val="20"/>
          <w:szCs w:val="20"/>
          <w:highlight w:val="none"/>
        </w:rPr>
        <w:t xml:space="preserve">(Наименование организации)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0"/>
        <w:jc w:val="both"/>
        <w:spacing w:line="300" w:lineRule="auto"/>
      </w:pPr>
      <w:r>
        <w:rPr>
          <w:szCs w:val="24"/>
          <w:highlight w:val="none"/>
        </w:rPr>
        <w:t xml:space="preserve">в лице _______________________________________________________________________ _____________________________________________________________________________</w:t>
      </w:r>
      <w:r/>
    </w:p>
    <w:p>
      <w:pPr>
        <w:ind w:firstLine="567"/>
        <w:jc w:val="center"/>
        <w:spacing w:line="300" w:lineRule="auto"/>
        <w:rPr>
          <w:sz w:val="20"/>
          <w:szCs w:val="20"/>
        </w:rPr>
      </w:pPr>
      <w:r>
        <w:rPr>
          <w:sz w:val="20"/>
          <w:szCs w:val="20"/>
          <w:highlight w:val="none"/>
        </w:rPr>
        <w:t xml:space="preserve">(Должность, ФИО руководителя)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0"/>
        <w:jc w:val="both"/>
        <w:spacing w:line="300" w:lineRule="auto"/>
      </w:pPr>
      <w:r>
        <w:rPr>
          <w:szCs w:val="24"/>
          <w:highlight w:val="none"/>
        </w:rPr>
        <w:t xml:space="preserve">и </w:t>
      </w:r>
      <w:r>
        <w:rPr>
          <w:szCs w:val="24"/>
          <w:highlight w:val="none"/>
        </w:rPr>
        <w:t xml:space="preserve">ответственного за ИБ / </w:t>
      </w:r>
      <w:r>
        <w:rPr>
          <w:szCs w:val="24"/>
          <w:highlight w:val="none"/>
        </w:rPr>
        <w:t xml:space="preserve">Администратора СКЗИ ___________________________________ _____________________________________________________________________________</w:t>
      </w:r>
      <w:r/>
    </w:p>
    <w:p>
      <w:pPr>
        <w:ind w:firstLine="567"/>
        <w:jc w:val="center"/>
        <w:spacing w:line="300" w:lineRule="auto"/>
        <w:rPr>
          <w:sz w:val="20"/>
          <w:szCs w:val="20"/>
        </w:rPr>
      </w:pPr>
      <w:r>
        <w:rPr>
          <w:sz w:val="20"/>
          <w:szCs w:val="20"/>
          <w:highlight w:val="none"/>
        </w:rPr>
        <w:t xml:space="preserve">(Должность, ФИО)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0"/>
        <w:jc w:val="both"/>
        <w:spacing w:line="300" w:lineRule="auto"/>
      </w:pPr>
      <w:r>
        <w:rPr>
          <w:szCs w:val="24"/>
          <w:highlight w:val="none"/>
        </w:rPr>
        <w:t xml:space="preserve">составили настоящий Акт в том, </w:t>
      </w:r>
      <w:r>
        <w:rPr>
          <w:szCs w:val="24"/>
          <w:highlight w:val="none"/>
        </w:rPr>
        <w:t xml:space="preserve">что АРМ, предназначенное для организации защищённого информационного взаимодействия с ИС ПУМП ТФОМС ЛО, прошло комплексную настройку и проверку на соответствие требованиям законодательства РФ (ФСТЭК России и ФСБ России), а также условиям п. 6.5 Регламента.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b/>
          <w:bCs/>
          <w:szCs w:val="24"/>
          <w:highlight w:val="none"/>
        </w:rPr>
        <w:t xml:space="preserve">1. Технические характеристики АРМ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• Сетевое имя АРМ / Идентификатор:________________________________________ _____________________________________________________________________________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• Размещение (кабинет, адрес): ______________________________________________ _____________________________________________________________________________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• Назначенный пользователь АРМ (ФИО, должность):__________________________ _____________________________________________________________________________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b/>
          <w:bCs/>
          <w:szCs w:val="24"/>
          <w:highlight w:val="none"/>
        </w:rPr>
        <w:t xml:space="preserve">2. Сведения о сертифицированном системном и защитном ПО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В соответствии с требованиями для ИСПДн уровня защищённости УЗ2 (по ПП РФ № 1119) и ГИС класса защищённости К2 (по приказу ФСТЭК России № 117), на АРМ установлены и настроены следующие программные и программно-аппаратные средства защиты информации:</w:t>
      </w:r>
      <w:r/>
    </w:p>
    <w:tbl>
      <w:tblPr>
        <w:tblStyle w:val="73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53"/>
        <w:gridCol w:w="1524"/>
        <w:gridCol w:w="2304"/>
        <w:gridCol w:w="1914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line="300" w:lineRule="auto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  <w:t xml:space="preserve">№ п/п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3153" w:type="dxa"/>
            <w:textDirection w:val="lrTb"/>
            <w:noWrap w:val="false"/>
          </w:tcPr>
          <w:p>
            <w:pPr>
              <w:jc w:val="center"/>
              <w:spacing w:line="300" w:lineRule="auto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  <w:t xml:space="preserve">Наименование средства защиты (СЗИ / СКЗИ / ОС)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spacing w:line="300" w:lineRule="auto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  <w:t xml:space="preserve">Версия ПО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2304" w:type="dxa"/>
            <w:textDirection w:val="lrTb"/>
            <w:noWrap w:val="false"/>
          </w:tcPr>
          <w:p>
            <w:pPr>
              <w:jc w:val="center"/>
              <w:spacing w:line="300" w:lineRule="auto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  <w:t xml:space="preserve">Номер действующего Сертификата (ФСТЭК / ФСБ)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spacing w:line="300" w:lineRule="auto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  <w:t xml:space="preserve">Срок действия сертификата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3153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52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30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91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3153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52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30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91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3153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52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30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91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3153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52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30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91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3153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52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230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W w:w="1914" w:type="dxa"/>
            <w:textDirection w:val="lrTb"/>
            <w:noWrap w:val="false"/>
          </w:tcPr>
          <w:p>
            <w:pPr>
              <w:jc w:val="both"/>
              <w:spacing w:line="300" w:lineRule="auto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ind w:firstLine="0"/>
        <w:jc w:val="both"/>
        <w:spacing w:line="300" w:lineRule="auto"/>
      </w:pP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b/>
          <w:bCs/>
          <w:szCs w:val="24"/>
          <w:highlight w:val="none"/>
        </w:rPr>
        <w:t xml:space="preserve">3. Результаты проверки настроек безопасности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В ходе развертывания АРМ выполнены и проверены следующие обязательные меры защиты: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1. Настроена строгая персональная парольная политика в отечественной ОС (длина пароля не менее 15 символов, история, блокировка сессии при бездействии): соответствует\не соответствует.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2. Активированы встроенные механизмы защиты ОС от несанкционированного доступа (дискреционный/ролевой контроль, аудит событий безопасности)</w:t>
      </w:r>
      <w:r>
        <w:rPr>
          <w:szCs w:val="24"/>
          <w:highlight w:val="none"/>
        </w:rPr>
        <w:t xml:space="preserve">: соответствует\не соответствует.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3. Включен режим замкнутой программной среды (запрет запуска неавторизованного ПО)</w:t>
      </w:r>
      <w:r>
        <w:rPr>
          <w:szCs w:val="24"/>
          <w:highlight w:val="none"/>
        </w:rPr>
        <w:t xml:space="preserve">: соответствует\не соответствует.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4. Настроен локальный межсетевой экран</w:t>
      </w:r>
      <w:r>
        <w:rPr>
          <w:szCs w:val="24"/>
          <w:highlight w:val="none"/>
        </w:rPr>
        <w:t xml:space="preserve">: соответствует\не соответствует.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5. Реализовано ограничение на подключение внешних USB-накопителей</w:t>
      </w:r>
      <w:r>
        <w:rPr>
          <w:szCs w:val="24"/>
          <w:highlight w:val="none"/>
        </w:rPr>
        <w:t xml:space="preserve">: соответствует\не соответствует.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6. Настроено автоматическое ежедневное обновление антивирусных баз</w:t>
      </w:r>
      <w:r>
        <w:rPr>
          <w:szCs w:val="24"/>
          <w:highlight w:val="none"/>
        </w:rPr>
        <w:t xml:space="preserve">: соответствует\не соответствует.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7. Хранение закрытых ключей СКЗИ КриптоПро CSP перенесено на отчуждаемый защищённый носитель. Хранение на жестком диске отсутствует: соответствует\не соответствует.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8. Установлены отечественные веб-браузеры (Яндекс.Браузер  / Chromium-Gost)</w:t>
      </w:r>
      <w:r>
        <w:rPr>
          <w:szCs w:val="24"/>
          <w:highlight w:val="none"/>
        </w:rPr>
        <w:t xml:space="preserve">: соответствует\не соответствует.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9. На ПК установлены актуальные обновления безопасности в соответствии с требованиями ФСТЭК России</w:t>
      </w:r>
      <w:r>
        <w:rPr>
          <w:szCs w:val="24"/>
          <w:highlight w:val="none"/>
        </w:rPr>
        <w:t xml:space="preserve">: соответствует\не соответствует.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t xml:space="preserve">10. Корпус АРМ опечатан: соответствует\не соответствует.</w:t>
      </w:r>
      <w:r/>
    </w:p>
    <w:p>
      <w:pPr>
        <w:ind w:firstLine="567"/>
        <w:jc w:val="both"/>
        <w:spacing w:line="300" w:lineRule="auto"/>
      </w:pPr>
      <w:r>
        <w:t xml:space="preserve">Должностное лицо, ответственное за защиту информации: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Должность/ФИО:__________________________________________________________ 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Рабочий телефон:_________________________________________________________</w:t>
      </w:r>
      <w:r/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Рабочий E-mail:___________________________________________________________</w:t>
      </w: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</w:pPr>
      <w:r>
        <w:rPr>
          <w:b/>
          <w:bCs/>
          <w:szCs w:val="24"/>
          <w:highlight w:val="none"/>
        </w:rPr>
        <w:t xml:space="preserve">4. Заключение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Автоматизированное рабочее место полностью готово к осуществлению защищённого информационного взаимодействия. Уязвимости, критичные для ИС ПУМП ТФОМС ЛО, отсутствуют.</w:t>
      </w: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  <w:t xml:space="preserve">Пользователь гарантирует поддержание установленного уровня защищённости АРМ на протяжении всего срока действия Соглашения.</w:t>
      </w: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Руководитель организации: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___________________ / ____________________________ / «___» ___________ 202_ г.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   (Подпись)   (ФИО)</w:t>
      </w:r>
      <w:r/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  <w:rPr>
          <w:highlight w:val="none"/>
        </w:rPr>
      </w:pPr>
      <w:r>
        <w:rPr>
          <w:szCs w:val="24"/>
          <w:highlight w:val="none"/>
        </w:rPr>
      </w:r>
      <w:r>
        <w:rPr>
          <w:highlight w:val="none"/>
        </w:rPr>
      </w:r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</w:r>
      <w:r>
        <w:rPr>
          <w:szCs w:val="24"/>
          <w:highlight w:val="none"/>
        </w:rPr>
        <w:t xml:space="preserve">Ответственный за ИБ /</w:t>
      </w:r>
      <w:r>
        <w:rPr>
          <w:szCs w:val="24"/>
          <w:highlight w:val="none"/>
        </w:rPr>
        <w:t xml:space="preserve">Администратор СКЗИ: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___________________ / ____________________________ / «___» ___________ 202_ г.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  <w:t xml:space="preserve">   (Подпись)   (ФИО)</w:t>
      </w:r>
      <w:r/>
    </w:p>
    <w:p>
      <w:pPr>
        <w:ind w:firstLine="567"/>
        <w:jc w:val="both"/>
        <w:spacing w:line="300" w:lineRule="auto"/>
      </w:pPr>
      <w:r>
        <w:rPr>
          <w:szCs w:val="24"/>
          <w:highlight w:val="none"/>
        </w:rPr>
      </w:r>
      <w:r/>
    </w:p>
    <w:p>
      <w:pPr>
        <w:ind w:firstLine="567"/>
        <w:jc w:val="both"/>
        <w:spacing w:line="300" w:lineRule="auto"/>
        <w:rPr>
          <w:b/>
          <w:bCs/>
          <w:highlight w:val="none"/>
        </w:rPr>
      </w:pPr>
      <w:r>
        <w:rPr>
          <w:szCs w:val="24"/>
          <w:highlight w:val="none"/>
        </w:rPr>
        <w:t xml:space="preserve">М.П.</w:t>
      </w:r>
      <w:r>
        <w:rPr>
          <w:szCs w:val="24"/>
          <w:highlight w:val="none"/>
        </w:rPr>
      </w:r>
      <w:r>
        <w:rPr>
          <w:b/>
          <w:bCs/>
          <w:highlight w:val="none"/>
        </w:rPr>
      </w:r>
    </w:p>
    <w:sectPr>
      <w:footnotePr/>
      <w:endnotePr/>
      <w:type w:val="nextPage"/>
      <w:pgSz w:w="11906" w:h="16838" w:orient="portrait"/>
      <w:pgMar w:top="851" w:right="851" w:bottom="709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</w:font>
  <w:font w:name="Arial">
    <w:panose1 w:val="020B0604020202020204"/>
  </w:font>
  <w:font w:name="DejaVu Sans">
    <w:panose1 w:val="020B0603030804020204"/>
  </w:font>
  <w:font w:name="Tahoma">
    <w:panose1 w:val="020B0604030504040204"/>
  </w:font>
  <w:font w:name="Lohit Devanagari">
    <w:panose1 w:val="02000603000000000000"/>
  </w:font>
  <w:font w:name="OpenSymbol">
    <w:panose1 w:val="05010000000000000000"/>
  </w:font>
  <w:font w:name="TimesET">
    <w:panose1 w:val="02000603000000000000"/>
  </w:font>
  <w:font w:name="Liberation Sans">
    <w:panose1 w:val="020B0604020202020204"/>
  </w:font>
  <w:font w:name="FreeSans">
    <w:panose1 w:val="02000603000000000000"/>
  </w:font>
  <w:font w:name="SimSun">
    <w:panose1 w:val="02000506000000020000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540" w:hanging="540"/>
        <w:tabs>
          <w:tab w:val="num" w:pos="54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540" w:hanging="540"/>
        <w:tabs>
          <w:tab w:val="num" w:pos="54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540" w:hanging="540"/>
        <w:tabs>
          <w:tab w:val="num" w:pos="54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00" w:hanging="360"/>
        <w:tabs>
          <w:tab w:val="num" w:pos="900" w:leader="none"/>
        </w:tabs>
      </w:pPr>
      <w:rPr>
        <w:rFonts w:hint="default" w:ascii="OpenSymbol" w:hAnsi="OpenSymbol" w:cs="Open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00" w:hanging="360"/>
        <w:tabs>
          <w:tab w:val="num" w:pos="900" w:leader="none"/>
        </w:tabs>
      </w:pPr>
      <w:rPr>
        <w:rFonts w:hint="default" w:ascii="OpenSymbol" w:hAnsi="OpenSymbol" w:cs="Open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387" w:hanging="72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694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2361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2668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3335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4002" w:hanging="180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09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76" w:hanging="2160"/>
      </w:pPr>
      <w:rPr>
        <w:rFonts w:hint="default"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373" w:hanging="72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666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2319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2612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3265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3918" w:hanging="180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11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864" w:hanging="2160"/>
      </w:pPr>
      <w:rPr>
        <w:rFonts w:hint="default" w:cs="Times New Roman"/>
      </w:r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387" w:hanging="72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694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2361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2668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3335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4002" w:hanging="180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09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76" w:hanging="2160"/>
      </w:pPr>
      <w:rPr>
        <w:rFonts w:hint="default" w:cs="Times New Roman"/>
      </w:r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540" w:hanging="540"/>
        <w:tabs>
          <w:tab w:val="num" w:pos="54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7">
    <w:name w:val="Heading 2 Char"/>
    <w:basedOn w:val="713"/>
    <w:link w:val="705"/>
    <w:uiPriority w:val="9"/>
    <w:rPr>
      <w:rFonts w:ascii="Liberation Sans" w:hAnsi="Liberation Sans" w:eastAsia="Liberation Sans" w:cs="Liberation Sans"/>
      <w:sz w:val="34"/>
    </w:rPr>
  </w:style>
  <w:style w:type="character" w:styleId="688">
    <w:name w:val="Heading 3 Char"/>
    <w:basedOn w:val="713"/>
    <w:link w:val="70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9">
    <w:name w:val="Heading 4 Char"/>
    <w:basedOn w:val="713"/>
    <w:link w:val="70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0">
    <w:name w:val="Heading 5 Char"/>
    <w:basedOn w:val="713"/>
    <w:link w:val="70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1">
    <w:name w:val="Heading 7 Char"/>
    <w:basedOn w:val="713"/>
    <w:link w:val="71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2">
    <w:name w:val="Heading 8 Char"/>
    <w:basedOn w:val="713"/>
    <w:link w:val="71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3">
    <w:name w:val="Heading 9 Char"/>
    <w:basedOn w:val="713"/>
    <w:link w:val="71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4">
    <w:name w:val="Title Char"/>
    <w:basedOn w:val="713"/>
    <w:link w:val="903"/>
    <w:uiPriority w:val="10"/>
    <w:rPr>
      <w:sz w:val="48"/>
      <w:szCs w:val="48"/>
    </w:rPr>
  </w:style>
  <w:style w:type="character" w:styleId="695">
    <w:name w:val="Subtitle Char"/>
    <w:basedOn w:val="713"/>
    <w:link w:val="727"/>
    <w:uiPriority w:val="11"/>
    <w:rPr>
      <w:sz w:val="24"/>
      <w:szCs w:val="24"/>
    </w:rPr>
  </w:style>
  <w:style w:type="character" w:styleId="696">
    <w:name w:val="Quote Char"/>
    <w:link w:val="729"/>
    <w:uiPriority w:val="29"/>
    <w:rPr>
      <w:i/>
    </w:rPr>
  </w:style>
  <w:style w:type="character" w:styleId="697">
    <w:name w:val="Intense Quote Char"/>
    <w:link w:val="731"/>
    <w:uiPriority w:val="30"/>
    <w:rPr>
      <w:i/>
    </w:rPr>
  </w:style>
  <w:style w:type="character" w:styleId="698">
    <w:name w:val="Header Char"/>
    <w:basedOn w:val="713"/>
    <w:link w:val="902"/>
    <w:uiPriority w:val="99"/>
  </w:style>
  <w:style w:type="character" w:styleId="699">
    <w:name w:val="Footer Char"/>
    <w:basedOn w:val="713"/>
    <w:link w:val="734"/>
    <w:uiPriority w:val="99"/>
  </w:style>
  <w:style w:type="character" w:styleId="700">
    <w:name w:val="Caption Char"/>
    <w:basedOn w:val="713"/>
    <w:link w:val="896"/>
    <w:uiPriority w:val="35"/>
    <w:rPr>
      <w:b/>
      <w:bCs/>
      <w:color w:val="4f81bd" w:themeColor="accent1"/>
      <w:sz w:val="18"/>
      <w:szCs w:val="18"/>
    </w:rPr>
  </w:style>
  <w:style w:type="character" w:styleId="701">
    <w:name w:val="Footnote Text Char"/>
    <w:link w:val="863"/>
    <w:uiPriority w:val="99"/>
    <w:rPr>
      <w:sz w:val="18"/>
    </w:rPr>
  </w:style>
  <w:style w:type="character" w:styleId="702">
    <w:name w:val="Endnote Text Char"/>
    <w:link w:val="866"/>
    <w:uiPriority w:val="99"/>
    <w:rPr>
      <w:sz w:val="20"/>
    </w:rPr>
  </w:style>
  <w:style w:type="paragraph" w:styleId="703" w:default="1">
    <w:name w:val="Normal"/>
    <w:qFormat/>
    <w:rPr>
      <w:rFonts w:eastAsia="Times New Roman"/>
      <w:sz w:val="24"/>
      <w:lang w:eastAsia="ru-RU" w:bidi="ar-SA"/>
    </w:rPr>
  </w:style>
  <w:style w:type="paragraph" w:styleId="704">
    <w:name w:val="Heading 1"/>
    <w:basedOn w:val="703"/>
    <w:link w:val="882"/>
    <w:qFormat/>
    <w:pPr>
      <w:jc w:val="center"/>
      <w:keepNext/>
      <w:outlineLvl w:val="0"/>
    </w:pPr>
    <w:rPr>
      <w:b/>
    </w:rPr>
  </w:style>
  <w:style w:type="paragraph" w:styleId="705">
    <w:name w:val="Heading 2"/>
    <w:basedOn w:val="703"/>
    <w:link w:val="717"/>
    <w:qFormat/>
    <w:pPr>
      <w:jc w:val="both"/>
      <w:keepNext/>
      <w:outlineLvl w:val="1"/>
    </w:pPr>
    <w:rPr>
      <w:b/>
    </w:rPr>
  </w:style>
  <w:style w:type="paragraph" w:styleId="706">
    <w:name w:val="Heading 3"/>
    <w:basedOn w:val="703"/>
    <w:next w:val="703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07">
    <w:name w:val="Heading 4"/>
    <w:basedOn w:val="703"/>
    <w:next w:val="703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8">
    <w:name w:val="Heading 5"/>
    <w:basedOn w:val="703"/>
    <w:next w:val="703"/>
    <w:link w:val="72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Cs w:val="24"/>
    </w:rPr>
  </w:style>
  <w:style w:type="paragraph" w:styleId="709">
    <w:name w:val="Heading 6"/>
    <w:basedOn w:val="703"/>
    <w:link w:val="714"/>
    <w:qFormat/>
    <w:pPr>
      <w:jc w:val="both"/>
      <w:keepNext/>
      <w:outlineLvl w:val="5"/>
    </w:pPr>
    <w:rPr>
      <w:b/>
      <w:color w:val="000000"/>
    </w:rPr>
  </w:style>
  <w:style w:type="paragraph" w:styleId="710">
    <w:name w:val="Heading 7"/>
    <w:basedOn w:val="703"/>
    <w:next w:val="703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1">
    <w:name w:val="Heading 8"/>
    <w:basedOn w:val="703"/>
    <w:next w:val="70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2">
    <w:name w:val="Heading 9"/>
    <w:basedOn w:val="703"/>
    <w:next w:val="703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link w:val="709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Heading 1 Char"/>
    <w:basedOn w:val="71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7" w:customStyle="1">
    <w:name w:val="Заголовок 2 Знак"/>
    <w:basedOn w:val="713"/>
    <w:link w:val="705"/>
    <w:uiPriority w:val="9"/>
    <w:rPr>
      <w:rFonts w:ascii="Liberation Sans" w:hAnsi="Liberation Sans" w:eastAsia="Liberation Sans" w:cs="Liberation Sans"/>
      <w:sz w:val="34"/>
    </w:rPr>
  </w:style>
  <w:style w:type="character" w:styleId="718" w:customStyle="1">
    <w:name w:val="Заголовок 3 Знак"/>
    <w:basedOn w:val="713"/>
    <w:link w:val="70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9" w:customStyle="1">
    <w:name w:val="Заголовок 4 Знак"/>
    <w:basedOn w:val="713"/>
    <w:link w:val="70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0" w:customStyle="1">
    <w:name w:val="Заголовок 5 Знак"/>
    <w:basedOn w:val="713"/>
    <w:link w:val="70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1" w:customStyle="1">
    <w:name w:val="Heading 6 Char"/>
    <w:basedOn w:val="71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2" w:customStyle="1">
    <w:name w:val="Заголовок 7 Знак"/>
    <w:basedOn w:val="713"/>
    <w:link w:val="71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3" w:customStyle="1">
    <w:name w:val="Заголовок 8 Знак"/>
    <w:basedOn w:val="713"/>
    <w:link w:val="71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4" w:customStyle="1">
    <w:name w:val="Заголовок 9 Знак"/>
    <w:basedOn w:val="713"/>
    <w:link w:val="71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5">
    <w:name w:val="No Spacing"/>
    <w:uiPriority w:val="1"/>
    <w:qFormat/>
  </w:style>
  <w:style w:type="character" w:styleId="726" w:customStyle="1">
    <w:name w:val="Название Знак1"/>
    <w:basedOn w:val="713"/>
    <w:link w:val="903"/>
    <w:uiPriority w:val="10"/>
    <w:rPr>
      <w:sz w:val="48"/>
      <w:szCs w:val="48"/>
    </w:rPr>
  </w:style>
  <w:style w:type="paragraph" w:styleId="727">
    <w:name w:val="Subtitle"/>
    <w:basedOn w:val="703"/>
    <w:next w:val="703"/>
    <w:link w:val="728"/>
    <w:uiPriority w:val="11"/>
    <w:qFormat/>
    <w:pPr>
      <w:spacing w:before="200" w:after="200"/>
    </w:pPr>
    <w:rPr>
      <w:szCs w:val="24"/>
    </w:rPr>
  </w:style>
  <w:style w:type="character" w:styleId="728" w:customStyle="1">
    <w:name w:val="Подзаголовок Знак"/>
    <w:basedOn w:val="713"/>
    <w:link w:val="727"/>
    <w:uiPriority w:val="11"/>
    <w:rPr>
      <w:sz w:val="24"/>
      <w:szCs w:val="24"/>
    </w:rPr>
  </w:style>
  <w:style w:type="paragraph" w:styleId="729">
    <w:name w:val="Quote"/>
    <w:basedOn w:val="703"/>
    <w:next w:val="703"/>
    <w:link w:val="730"/>
    <w:uiPriority w:val="29"/>
    <w:qFormat/>
    <w:pPr>
      <w:ind w:left="720" w:right="720"/>
    </w:pPr>
    <w:rPr>
      <w:i/>
    </w:rPr>
  </w:style>
  <w:style w:type="character" w:styleId="730" w:customStyle="1">
    <w:name w:val="Цитата 2 Знак"/>
    <w:link w:val="729"/>
    <w:uiPriority w:val="29"/>
    <w:rPr>
      <w:i/>
    </w:rPr>
  </w:style>
  <w:style w:type="paragraph" w:styleId="731">
    <w:name w:val="Intense Quote"/>
    <w:basedOn w:val="703"/>
    <w:next w:val="703"/>
    <w:link w:val="73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 w:customStyle="1">
    <w:name w:val="Выделенная цитата Знак"/>
    <w:link w:val="731"/>
    <w:uiPriority w:val="30"/>
    <w:rPr>
      <w:i/>
    </w:rPr>
  </w:style>
  <w:style w:type="character" w:styleId="733" w:customStyle="1">
    <w:name w:val="Верхний колонтитул Знак1"/>
    <w:basedOn w:val="713"/>
    <w:link w:val="902"/>
    <w:uiPriority w:val="99"/>
  </w:style>
  <w:style w:type="paragraph" w:styleId="734">
    <w:name w:val="Footer"/>
    <w:basedOn w:val="703"/>
    <w:link w:val="73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5" w:customStyle="1">
    <w:name w:val="Нижний колонтитул Знак"/>
    <w:basedOn w:val="713"/>
    <w:link w:val="734"/>
    <w:uiPriority w:val="99"/>
  </w:style>
  <w:style w:type="character" w:styleId="736" w:customStyle="1">
    <w:name w:val="Название объекта Знак"/>
    <w:basedOn w:val="713"/>
    <w:link w:val="896"/>
    <w:uiPriority w:val="35"/>
    <w:rPr>
      <w:b/>
      <w:bCs/>
      <w:color w:val="5b9bd5" w:themeColor="accent1"/>
      <w:sz w:val="18"/>
      <w:szCs w:val="18"/>
    </w:rPr>
  </w:style>
  <w:style w:type="table" w:styleId="737">
    <w:name w:val="Table Grid"/>
    <w:basedOn w:val="71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8" w:customStyle="1">
    <w:name w:val="Table Grid Light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9" w:customStyle="1">
    <w:name w:val="Plain Table 1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0" w:customStyle="1">
    <w:name w:val="Plain Table 2"/>
    <w:basedOn w:val="71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1" w:customStyle="1">
    <w:name w:val="Plain Table 3"/>
    <w:basedOn w:val="71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 w:customStyle="1">
    <w:name w:val="Plain Table 4"/>
    <w:basedOn w:val="71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Plain Table 5"/>
    <w:basedOn w:val="71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1 Light"/>
    <w:basedOn w:val="71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1"/>
    <w:basedOn w:val="714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2"/>
    <w:basedOn w:val="71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3"/>
    <w:basedOn w:val="71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4"/>
    <w:basedOn w:val="71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5"/>
    <w:basedOn w:val="714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6"/>
    <w:basedOn w:val="71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2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1"/>
    <w:basedOn w:val="714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2"/>
    <w:basedOn w:val="71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3"/>
    <w:basedOn w:val="71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4"/>
    <w:basedOn w:val="71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5"/>
    <w:basedOn w:val="714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6"/>
    <w:basedOn w:val="71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1"/>
    <w:basedOn w:val="714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2"/>
    <w:basedOn w:val="71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3"/>
    <w:basedOn w:val="71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4"/>
    <w:basedOn w:val="71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5"/>
    <w:basedOn w:val="714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6"/>
    <w:basedOn w:val="71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4"/>
    <w:basedOn w:val="71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 w:customStyle="1">
    <w:name w:val="Grid Table 4 - Accent 1"/>
    <w:basedOn w:val="714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7" w:customStyle="1">
    <w:name w:val="Grid Table 4 - Accent 2"/>
    <w:basedOn w:val="714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8" w:customStyle="1">
    <w:name w:val="Grid Table 4 - Accent 3"/>
    <w:basedOn w:val="714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9" w:customStyle="1">
    <w:name w:val="Grid Table 4 - Accent 4"/>
    <w:basedOn w:val="71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0" w:customStyle="1">
    <w:name w:val="Grid Table 4 - Accent 5"/>
    <w:basedOn w:val="714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1" w:customStyle="1">
    <w:name w:val="Grid Table 4 - Accent 6"/>
    <w:basedOn w:val="714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2" w:customStyle="1">
    <w:name w:val="Grid Table 5 Dark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1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2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3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4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5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6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0" w:customStyle="1">
    <w:name w:val="Grid Table 6 Colorful - Accent 1"/>
    <w:basedOn w:val="714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1" w:customStyle="1">
    <w:name w:val="Grid Table 6 Colorful - Accent 2"/>
    <w:basedOn w:val="71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2" w:customStyle="1">
    <w:name w:val="Grid Table 6 Colorful - Accent 3"/>
    <w:basedOn w:val="714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3" w:customStyle="1">
    <w:name w:val="Grid Table 6 Colorful - Accent 4"/>
    <w:basedOn w:val="71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4" w:customStyle="1">
    <w:name w:val="Grid Table 6 Colorful - Accent 5"/>
    <w:basedOn w:val="714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5" w:customStyle="1">
    <w:name w:val="Grid Table 6 Colorful - Accent 6"/>
    <w:basedOn w:val="714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6" w:customStyle="1">
    <w:name w:val="Grid Table 7 Colorful"/>
    <w:basedOn w:val="71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1"/>
    <w:basedOn w:val="714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2"/>
    <w:basedOn w:val="714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Grid Table 7 Colorful - Accent 3"/>
    <w:basedOn w:val="714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Grid Table 7 Colorful - Accent 4"/>
    <w:basedOn w:val="71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Grid Table 7 Colorful - Accent 5"/>
    <w:basedOn w:val="714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Grid Table 7 Colorful - Accent 6"/>
    <w:basedOn w:val="714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1 Light"/>
    <w:basedOn w:val="71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1"/>
    <w:basedOn w:val="714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2"/>
    <w:basedOn w:val="714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3"/>
    <w:basedOn w:val="714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4"/>
    <w:basedOn w:val="714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5"/>
    <w:basedOn w:val="714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6"/>
    <w:basedOn w:val="714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2"/>
    <w:basedOn w:val="71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1"/>
    <w:basedOn w:val="714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2"/>
    <w:basedOn w:val="714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3"/>
    <w:basedOn w:val="714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4"/>
    <w:basedOn w:val="71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5"/>
    <w:basedOn w:val="714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6"/>
    <w:basedOn w:val="714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7" w:customStyle="1">
    <w:name w:val="List Table 3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1"/>
    <w:basedOn w:val="714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2"/>
    <w:basedOn w:val="71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3"/>
    <w:basedOn w:val="714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4"/>
    <w:basedOn w:val="71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5"/>
    <w:basedOn w:val="714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6"/>
    <w:basedOn w:val="714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1"/>
    <w:basedOn w:val="714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2"/>
    <w:basedOn w:val="714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3"/>
    <w:basedOn w:val="714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4"/>
    <w:basedOn w:val="71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5"/>
    <w:basedOn w:val="714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6"/>
    <w:basedOn w:val="714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5 Dark"/>
    <w:basedOn w:val="71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2" w:customStyle="1">
    <w:name w:val="List Table 5 Dark - Accent 1"/>
    <w:basedOn w:val="714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3" w:customStyle="1">
    <w:name w:val="List Table 5 Dark - Accent 2"/>
    <w:basedOn w:val="714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4" w:customStyle="1">
    <w:name w:val="List Table 5 Dark - Accent 3"/>
    <w:basedOn w:val="714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5" w:customStyle="1">
    <w:name w:val="List Table 5 Dark - Accent 4"/>
    <w:basedOn w:val="71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6" w:customStyle="1">
    <w:name w:val="List Table 5 Dark - Accent 5"/>
    <w:basedOn w:val="714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7" w:customStyle="1">
    <w:name w:val="List Table 5 Dark - Accent 6"/>
    <w:basedOn w:val="714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8" w:customStyle="1">
    <w:name w:val="List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9" w:customStyle="1">
    <w:name w:val="List Table 6 Colorful - Accent 1"/>
    <w:basedOn w:val="714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0" w:customStyle="1">
    <w:name w:val="List Table 6 Colorful - Accent 2"/>
    <w:basedOn w:val="714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1" w:customStyle="1">
    <w:name w:val="List Table 6 Colorful - Accent 3"/>
    <w:basedOn w:val="714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2" w:customStyle="1">
    <w:name w:val="List Table 6 Colorful - Accent 4"/>
    <w:basedOn w:val="71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3" w:customStyle="1">
    <w:name w:val="List Table 6 Colorful - Accent 5"/>
    <w:basedOn w:val="714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4" w:customStyle="1">
    <w:name w:val="List Table 6 Colorful - Accent 6"/>
    <w:basedOn w:val="714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5" w:customStyle="1">
    <w:name w:val="List Table 7 Colorful"/>
    <w:basedOn w:val="71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1"/>
    <w:basedOn w:val="714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2"/>
    <w:basedOn w:val="714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st Table 7 Colorful - Accent 3"/>
    <w:basedOn w:val="714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9" w:customStyle="1">
    <w:name w:val="List Table 7 Colorful - Accent 4"/>
    <w:basedOn w:val="71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0" w:customStyle="1">
    <w:name w:val="List Table 7 Colorful - Accent 5"/>
    <w:basedOn w:val="714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1" w:customStyle="1">
    <w:name w:val="List Table 7 Colorful - Accent 6"/>
    <w:basedOn w:val="714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2" w:customStyle="1">
    <w:name w:val="Lined - Accent"/>
    <w:basedOn w:val="714"/>
    <w:uiPriority w:val="99"/>
    <w:rPr>
      <w:color w:val="404040"/>
      <w:lang w:eastAsia="ru-RU"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Lined - Accent 1"/>
    <w:basedOn w:val="714"/>
    <w:uiPriority w:val="99"/>
    <w:rPr>
      <w:color w:val="404040"/>
      <w:lang w:eastAsia="ru-RU"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4" w:customStyle="1">
    <w:name w:val="Lined - Accent 2"/>
    <w:basedOn w:val="714"/>
    <w:uiPriority w:val="99"/>
    <w:rPr>
      <w:color w:val="404040"/>
      <w:lang w:eastAsia="ru-RU"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5" w:customStyle="1">
    <w:name w:val="Lined - Accent 3"/>
    <w:basedOn w:val="714"/>
    <w:uiPriority w:val="99"/>
    <w:rPr>
      <w:color w:val="404040"/>
      <w:lang w:eastAsia="ru-RU"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6" w:customStyle="1">
    <w:name w:val="Lined - Accent 4"/>
    <w:basedOn w:val="714"/>
    <w:uiPriority w:val="99"/>
    <w:rPr>
      <w:color w:val="404040"/>
      <w:lang w:eastAsia="ru-RU"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7" w:customStyle="1">
    <w:name w:val="Lined - Accent 5"/>
    <w:basedOn w:val="714"/>
    <w:uiPriority w:val="99"/>
    <w:rPr>
      <w:color w:val="404040"/>
      <w:lang w:eastAsia="ru-RU"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8" w:customStyle="1">
    <w:name w:val="Lined - Accent 6"/>
    <w:basedOn w:val="714"/>
    <w:uiPriority w:val="99"/>
    <w:rPr>
      <w:color w:val="404040"/>
      <w:lang w:eastAsia="ru-RU"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9" w:customStyle="1">
    <w:name w:val="Bordered &amp; Lined - Accent"/>
    <w:basedOn w:val="71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Bordered &amp; Lined - Accent 1"/>
    <w:basedOn w:val="71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1" w:customStyle="1">
    <w:name w:val="Bordered &amp; Lined - Accent 2"/>
    <w:basedOn w:val="71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2" w:customStyle="1">
    <w:name w:val="Bordered &amp; Lined - Accent 3"/>
    <w:basedOn w:val="71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3" w:customStyle="1">
    <w:name w:val="Bordered &amp; Lined - Accent 4"/>
    <w:basedOn w:val="71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4" w:customStyle="1">
    <w:name w:val="Bordered &amp; Lined - Accent 5"/>
    <w:basedOn w:val="71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5" w:customStyle="1">
    <w:name w:val="Bordered &amp; Lined - Accent 6"/>
    <w:basedOn w:val="71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6" w:customStyle="1">
    <w:name w:val="Bordered"/>
    <w:basedOn w:val="71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7" w:customStyle="1">
    <w:name w:val="Bordered - Accent 1"/>
    <w:basedOn w:val="714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8" w:customStyle="1">
    <w:name w:val="Bordered - Accent 2"/>
    <w:basedOn w:val="71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9" w:customStyle="1">
    <w:name w:val="Bordered - Accent 3"/>
    <w:basedOn w:val="71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0" w:customStyle="1">
    <w:name w:val="Bordered - Accent 4"/>
    <w:basedOn w:val="71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1" w:customStyle="1">
    <w:name w:val="Bordered - Accent 5"/>
    <w:basedOn w:val="714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2" w:customStyle="1">
    <w:name w:val="Bordered - Accent 6"/>
    <w:basedOn w:val="71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3">
    <w:name w:val="footnote text"/>
    <w:basedOn w:val="703"/>
    <w:link w:val="864"/>
    <w:uiPriority w:val="99"/>
    <w:semiHidden/>
    <w:unhideWhenUsed/>
    <w:pPr>
      <w:spacing w:after="40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basedOn w:val="713"/>
    <w:uiPriority w:val="99"/>
    <w:unhideWhenUsed/>
    <w:rPr>
      <w:vertAlign w:val="superscript"/>
    </w:rPr>
  </w:style>
  <w:style w:type="paragraph" w:styleId="866">
    <w:name w:val="endnote text"/>
    <w:basedOn w:val="703"/>
    <w:link w:val="867"/>
    <w:uiPriority w:val="99"/>
    <w:semiHidden/>
    <w:unhideWhenUsed/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basedOn w:val="713"/>
    <w:uiPriority w:val="99"/>
    <w:semiHidden/>
    <w:unhideWhenUsed/>
    <w:rPr>
      <w:vertAlign w:val="superscript"/>
    </w:rPr>
  </w:style>
  <w:style w:type="paragraph" w:styleId="869">
    <w:name w:val="toc 1"/>
    <w:basedOn w:val="703"/>
    <w:next w:val="703"/>
    <w:uiPriority w:val="39"/>
    <w:unhideWhenUsed/>
    <w:pPr>
      <w:spacing w:after="57"/>
    </w:pPr>
  </w:style>
  <w:style w:type="paragraph" w:styleId="870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71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72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73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74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75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76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77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703"/>
    <w:next w:val="703"/>
    <w:uiPriority w:val="99"/>
    <w:unhideWhenUsed/>
  </w:style>
  <w:style w:type="character" w:styleId="880">
    <w:name w:val="Hyperlink"/>
    <w:basedOn w:val="713"/>
    <w:uiPriority w:val="99"/>
    <w:unhideWhenUsed/>
    <w:rPr>
      <w:color w:val="0563c1" w:themeColor="hyperlink"/>
      <w:u w:val="single"/>
    </w:rPr>
  </w:style>
  <w:style w:type="character" w:styleId="881">
    <w:name w:val="page number"/>
    <w:basedOn w:val="713"/>
    <w:qFormat/>
  </w:style>
  <w:style w:type="character" w:styleId="882" w:customStyle="1">
    <w:name w:val="Заголовок 1 Знак"/>
    <w:basedOn w:val="713"/>
    <w:link w:val="704"/>
    <w:qFormat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83" w:customStyle="1">
    <w:name w:val="Основной текст 2 Знак1"/>
    <w:basedOn w:val="713"/>
    <w:link w:val="899"/>
    <w:qFormat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84" w:customStyle="1">
    <w:name w:val="Название Знак"/>
    <w:basedOn w:val="713"/>
    <w:qFormat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85" w:customStyle="1">
    <w:name w:val="Основной текст Знак"/>
    <w:basedOn w:val="713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86" w:customStyle="1">
    <w:name w:val="Основной текст 2 Знак"/>
    <w:basedOn w:val="713"/>
    <w:qFormat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87" w:customStyle="1">
    <w:name w:val="Основной текст с отступом 2 Знак"/>
    <w:basedOn w:val="713"/>
    <w:qFormat/>
    <w:rPr>
      <w:rFonts w:ascii="TimesET" w:hAnsi="TimesET" w:eastAsia="Times New Roman" w:cs="Times New Roman"/>
      <w:color w:val="000000"/>
      <w:sz w:val="24"/>
      <w:szCs w:val="20"/>
      <w:lang w:eastAsia="ru-RU"/>
    </w:rPr>
  </w:style>
  <w:style w:type="character" w:styleId="888" w:customStyle="1">
    <w:name w:val="Основной текст 3 Знак"/>
    <w:basedOn w:val="713"/>
    <w:qFormat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89" w:customStyle="1">
    <w:name w:val="Верхний колонтитул Знак"/>
    <w:basedOn w:val="713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90" w:customStyle="1">
    <w:name w:val="Абзац списка Знак"/>
    <w:uiPriority w:val="34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91" w:customStyle="1">
    <w:name w:val="Маркеры"/>
    <w:qFormat/>
    <w:rPr>
      <w:rFonts w:ascii="OpenSymbol" w:hAnsi="OpenSymbol" w:eastAsia="OpenSymbol" w:cs="OpenSymbol"/>
    </w:rPr>
  </w:style>
  <w:style w:type="character" w:styleId="892" w:customStyle="1">
    <w:name w:val="Текст выноски Знак"/>
    <w:basedOn w:val="713"/>
    <w:link w:val="898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paragraph" w:styleId="893" w:customStyle="1">
    <w:name w:val="Заголовок"/>
    <w:basedOn w:val="703"/>
    <w:next w:val="894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894">
    <w:name w:val="Body Text"/>
    <w:basedOn w:val="703"/>
    <w:pPr>
      <w:jc w:val="both"/>
    </w:pPr>
  </w:style>
  <w:style w:type="paragraph" w:styleId="895">
    <w:name w:val="List"/>
    <w:basedOn w:val="894"/>
    <w:rPr>
      <w:rFonts w:cs="Lohit Devanagari"/>
    </w:rPr>
  </w:style>
  <w:style w:type="paragraph" w:styleId="896">
    <w:name w:val="Caption"/>
    <w:basedOn w:val="703"/>
    <w:link w:val="736"/>
    <w:qFormat/>
    <w:pPr>
      <w:spacing w:before="120" w:after="120"/>
      <w:suppressLineNumbers/>
    </w:pPr>
    <w:rPr>
      <w:rFonts w:cs="Lohit Devanagari"/>
      <w:i/>
      <w:iCs/>
      <w:szCs w:val="24"/>
    </w:rPr>
  </w:style>
  <w:style w:type="paragraph" w:styleId="897">
    <w:name w:val="index heading"/>
    <w:basedOn w:val="703"/>
    <w:qFormat/>
    <w:pPr>
      <w:suppressLineNumbers/>
    </w:pPr>
    <w:rPr>
      <w:rFonts w:cs="Lohit Devanagari"/>
    </w:rPr>
  </w:style>
  <w:style w:type="paragraph" w:styleId="898">
    <w:name w:val="Balloon Text"/>
    <w:basedOn w:val="703"/>
    <w:link w:val="892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899">
    <w:name w:val="Body Text 2"/>
    <w:basedOn w:val="703"/>
    <w:link w:val="883"/>
    <w:qFormat/>
    <w:pPr>
      <w:jc w:val="both"/>
    </w:pPr>
    <w:rPr>
      <w:b/>
    </w:rPr>
  </w:style>
  <w:style w:type="paragraph" w:styleId="900" w:customStyle="1">
    <w:name w:val="caption1"/>
    <w:basedOn w:val="703"/>
    <w:qFormat/>
    <w:pPr>
      <w:spacing w:before="120" w:after="120"/>
      <w:suppressLineNumbers/>
    </w:pPr>
    <w:rPr>
      <w:rFonts w:cs="Lohit Devanagari"/>
      <w:i/>
      <w:iCs/>
      <w:szCs w:val="24"/>
    </w:rPr>
  </w:style>
  <w:style w:type="paragraph" w:styleId="901" w:customStyle="1">
    <w:name w:val="Колонтитул"/>
    <w:basedOn w:val="703"/>
    <w:qFormat/>
  </w:style>
  <w:style w:type="paragraph" w:styleId="902">
    <w:name w:val="Header"/>
    <w:basedOn w:val="703"/>
    <w:link w:val="733"/>
    <w:pPr>
      <w:tabs>
        <w:tab w:val="center" w:pos="4153" w:leader="none"/>
        <w:tab w:val="right" w:pos="8306" w:leader="none"/>
      </w:tabs>
    </w:pPr>
  </w:style>
  <w:style w:type="paragraph" w:styleId="903">
    <w:name w:val="Title"/>
    <w:basedOn w:val="703"/>
    <w:next w:val="894"/>
    <w:link w:val="726"/>
    <w:qFormat/>
    <w:pPr>
      <w:jc w:val="center"/>
    </w:pPr>
    <w:rPr>
      <w:b/>
    </w:rPr>
  </w:style>
  <w:style w:type="paragraph" w:styleId="904">
    <w:name w:val="Body Text 3"/>
    <w:basedOn w:val="703"/>
    <w:qFormat/>
    <w:pPr>
      <w:jc w:val="center"/>
    </w:pPr>
    <w:rPr>
      <w:b/>
    </w:rPr>
  </w:style>
  <w:style w:type="paragraph" w:styleId="905">
    <w:name w:val="Body Text Indent 2"/>
    <w:basedOn w:val="703"/>
    <w:qFormat/>
    <w:pPr>
      <w:ind w:firstLine="851"/>
      <w:jc w:val="both"/>
      <w:spacing w:after="60"/>
    </w:pPr>
    <w:rPr>
      <w:rFonts w:ascii="TimesET" w:hAnsi="TimesET"/>
      <w:color w:val="000000"/>
    </w:rPr>
  </w:style>
  <w:style w:type="paragraph" w:styleId="906" w:customStyle="1">
    <w:name w:val="caption11"/>
    <w:basedOn w:val="703"/>
    <w:qFormat/>
    <w:pPr>
      <w:spacing w:before="120" w:after="120"/>
      <w:suppressLineNumbers/>
    </w:pPr>
    <w:rPr>
      <w:rFonts w:cs="Lohit Devanagari"/>
      <w:i/>
      <w:iCs/>
      <w:szCs w:val="24"/>
    </w:rPr>
  </w:style>
  <w:style w:type="paragraph" w:styleId="907" w:customStyle="1">
    <w:name w:val="заголовок 1"/>
    <w:basedOn w:val="703"/>
    <w:qFormat/>
    <w:pPr>
      <w:ind w:left="432" w:hanging="432"/>
      <w:keepNext/>
      <w:spacing w:before="240" w:after="60"/>
      <w:widowControl w:val="off"/>
      <w:tabs>
        <w:tab w:val="left" w:pos="432" w:leader="none"/>
      </w:tabs>
    </w:pPr>
    <w:rPr>
      <w:rFonts w:ascii="Arial" w:hAnsi="Arial"/>
      <w:b/>
      <w:sz w:val="28"/>
    </w:rPr>
  </w:style>
  <w:style w:type="paragraph" w:styleId="908" w:customStyle="1">
    <w:name w:val="Верхний и нижний колонтитулы"/>
    <w:basedOn w:val="703"/>
    <w:qFormat/>
  </w:style>
  <w:style w:type="paragraph" w:styleId="909">
    <w:name w:val="List Paragraph"/>
    <w:basedOn w:val="703"/>
    <w:uiPriority w:val="34"/>
    <w:qFormat/>
    <w:pPr>
      <w:ind w:left="708"/>
    </w:pPr>
  </w:style>
  <w:style w:type="paragraph" w:styleId="910" w:customStyle="1">
    <w:name w:val="Содержимое врезки"/>
    <w:basedOn w:val="703"/>
    <w:qFormat/>
  </w:style>
  <w:style w:type="paragraph" w:styleId="911" w:customStyle="1">
    <w:name w:val="Style2"/>
    <w:basedOn w:val="761"/>
    <w:uiPriority w:val="99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95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12" w:customStyle="1">
    <w:name w:val="Font Style93"/>
    <w:uiPriority w:val="99"/>
    <w:rPr>
      <w:rFonts w:ascii="Times New Roman" w:hAnsi="Times New Roman"/>
      <w:b/>
      <w:sz w:val="26"/>
    </w:rPr>
  </w:style>
  <w:style w:type="character" w:styleId="913" w:customStyle="1">
    <w:name w:val="Font Style94"/>
    <w:uiPriority w:val="99"/>
    <w:rPr>
      <w:rFonts w:ascii="Times New Roman" w:hAnsi="Times New Roman"/>
      <w:sz w:val="26"/>
    </w:rPr>
  </w:style>
  <w:style w:type="paragraph" w:styleId="914" w:customStyle="1">
    <w:name w:val="Style51"/>
    <w:basedOn w:val="761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15" w:customStyle="1">
    <w:name w:val="Font Style98"/>
    <w:uiPriority w:val="99"/>
    <w:rPr>
      <w:rFonts w:ascii="Times New Roman" w:hAnsi="Times New Roman"/>
      <w:b/>
      <w:sz w:val="22"/>
    </w:rPr>
  </w:style>
  <w:style w:type="character" w:styleId="916" w:customStyle="1">
    <w:name w:val="Font Style91"/>
    <w:uiPriority w:val="99"/>
    <w:rPr>
      <w:rFonts w:ascii="Times New Roman" w:hAnsi="Times New Roman"/>
      <w:b/>
      <w:sz w:val="22"/>
    </w:rPr>
  </w:style>
  <w:style w:type="paragraph" w:styleId="917" w:customStyle="1">
    <w:name w:val="Style52"/>
    <w:basedOn w:val="761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18" w:customStyle="1">
    <w:name w:val="Font Style99"/>
    <w:uiPriority w:val="99"/>
    <w:rPr>
      <w:rFonts w:ascii="Times New Roman" w:hAnsi="Times New Roman"/>
      <w:spacing w:val="-30"/>
      <w:sz w:val="38"/>
    </w:rPr>
  </w:style>
  <w:style w:type="paragraph" w:styleId="919" w:customStyle="1">
    <w:name w:val="Style9"/>
    <w:basedOn w:val="761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20" w:customStyle="1">
    <w:name w:val="Font Style72"/>
    <w:uiPriority w:val="99"/>
    <w:rPr>
      <w:rFonts w:ascii="Times New Roman" w:hAnsi="Times New Roman"/>
      <w:b/>
      <w:sz w:val="22"/>
    </w:rPr>
  </w:style>
  <w:style w:type="paragraph" w:styleId="921" w:customStyle="1">
    <w:name w:val="Style29"/>
    <w:basedOn w:val="761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30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22" w:customStyle="1">
    <w:name w:val="Font Style82"/>
    <w:uiPriority w:val="99"/>
    <w:rPr>
      <w:rFonts w:ascii="Times New Roman" w:hAnsi="Times New Roman"/>
      <w:sz w:val="18"/>
    </w:rPr>
  </w:style>
  <w:style w:type="paragraph" w:styleId="923" w:customStyle="1">
    <w:name w:val="Style33"/>
    <w:basedOn w:val="761"/>
    <w:uiPriority w:val="99"/>
    <w:pPr>
      <w:contextualSpacing w:val="0"/>
      <w:ind w:left="0" w:right="0" w:firstLine="691"/>
      <w:jc w:val="both"/>
      <w:keepLines w:val="0"/>
      <w:keepNext w:val="0"/>
      <w:pageBreakBefore w:val="0"/>
      <w:spacing w:before="0" w:beforeAutospacing="0" w:after="0" w:afterAutospacing="0" w:line="304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4" w:customStyle="1">
    <w:name w:val="Default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5" w:customStyle="1">
    <w:name w:val="Style27"/>
    <w:basedOn w:val="761"/>
    <w:uiPriority w:val="99"/>
    <w:pPr>
      <w:contextualSpacing w:val="0"/>
      <w:ind w:left="0" w:right="0" w:firstLine="648"/>
      <w:jc w:val="left"/>
      <w:keepLines w:val="0"/>
      <w:keepNext w:val="0"/>
      <w:pageBreakBefore w:val="0"/>
      <w:spacing w:before="0" w:beforeAutospacing="0" w:after="0" w:afterAutospacing="0" w:line="312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language>ru-RU</dc:language>
  <cp:lastModifiedBy>administrator</cp:lastModifiedBy>
  <cp:revision>7</cp:revision>
  <dcterms:created xsi:type="dcterms:W3CDTF">2026-04-09T14:06:00Z</dcterms:created>
  <dcterms:modified xsi:type="dcterms:W3CDTF">2026-09-15T08:43:14Z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C865C03D501E43EDB803F3E20FA92585_12</vt:lpwstr>
  </property>
  <property fmtid="{D5CDD505-2E9C-101B-9397-08002B2CF9AE}" pid="4" name="KSOProductBuildVer">
    <vt:lpwstr>1049-12.2.0.19307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