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64"/>
        <w:spacing w:before="0" w:after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Об итогах работы ТФОМС Липецкой области за I полугодие 2026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1"/>
        <w:ind w:firstLine="720"/>
        <w:jc w:val="both"/>
        <w:spacing w:after="0" w:line="283" w:lineRule="atLeast"/>
        <w:shd w:val="clear" w:color="ffffff" w:themeColor="background1" w:fill="ffffff" w:themeFill="background1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За январь-июнь 2026 года доходы бюджета территориального фонда ОМС сложились в размере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12 907,9 млн. рублей, что составляет 100% от утвержденных бюджетных назначений и 107,8% к доходам аналогичного периода 2025 года (11 972,9 млн. рублей).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бюджет территориального фонда обязательного медицинского страхования Липецкой области за этот период п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оступило средств в виде: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субвен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ции из Федерального фонда обязательного медицинского страхования на финансовое обеспечение организации обязательного медицинского страхования в сумме 12 528,7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41"/>
        <w:ind w:firstLine="720"/>
        <w:jc w:val="both"/>
        <w:spacing w:after="0" w:line="283" w:lineRule="atLeast"/>
        <w:shd w:val="clear" w:color="ffffff" w:themeColor="background1" w:fill="ffffff" w:themeFill="background1"/>
        <w:tabs>
          <w:tab w:val="left" w:pos="72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межбюджетных трансфертов, полученных из областног</w:t>
      </w:r>
      <w:r>
        <w:rPr>
          <w:sz w:val="28"/>
          <w:szCs w:val="28"/>
          <w:highlight w:val="none"/>
        </w:rPr>
        <w:t xml:space="preserve">о бюджета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страхования, в размере 91,0 млн. рублей.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41"/>
        <w:ind w:firstLine="720"/>
        <w:jc w:val="both"/>
        <w:spacing w:after="0" w:line="283" w:lineRule="atLeast"/>
        <w:shd w:val="clear" w:color="ffffff" w:themeColor="background1" w:fill="ffffff" w:themeFill="background1"/>
        <w:tabs>
          <w:tab w:val="left" w:pos="72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Рост сопоставимых вышеуказанных доходов фонда для финан</w:t>
      </w:r>
      <w:r>
        <w:rPr>
          <w:sz w:val="28"/>
          <w:szCs w:val="28"/>
          <w:highlight w:val="none"/>
        </w:rPr>
        <w:t xml:space="preserve">сового обеспечения реализации территориальной программы ОМС в I полугодии 2026 года составил 866,3 млн. рублей или 107,4%.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41"/>
        <w:ind w:firstLine="720"/>
        <w:jc w:val="both"/>
        <w:spacing w:after="0" w:line="283" w:lineRule="atLeast"/>
        <w:shd w:val="clear" w:color="ffffff" w:themeColor="background1" w:fill="ffffff" w:themeFill="background1"/>
        <w:tabs>
          <w:tab w:val="left" w:pos="720" w:leader="none"/>
        </w:tabs>
        <w:rPr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рамках выполнение территориальной программы ОМС за I полугодие 2026 года медицинскими организациями предъявлено к оплате медицинско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й помощи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всего на сумму</w:t>
      </w:r>
      <w:r>
        <w:rPr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12 138,1 млн. рублей, что составляет 97,6% от утвержденной стоимости программы и 104,7% к аналогичному показателю прошлого </w:t>
      </w:r>
      <w:r>
        <w:rPr>
          <w:sz w:val="28"/>
          <w:szCs w:val="28"/>
          <w:highlight w:val="none"/>
          <w:lang w:eastAsia="ru-RU"/>
        </w:rPr>
        <w:t xml:space="preserve">года (11 594,3 млн. рублей), в том числе: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pStyle w:val="741"/>
        <w:ind w:firstLine="720"/>
        <w:jc w:val="both"/>
        <w:spacing w:after="0" w:line="283" w:lineRule="atLeast"/>
        <w:shd w:val="clear" w:color="ffffff" w:themeColor="background1" w:fill="ffffff" w:themeFill="background1"/>
        <w:tabs>
          <w:tab w:val="left" w:pos="720" w:leader="none"/>
        </w:tabs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- стоимость амбулаторной медицинской помощи утверждена в сумме</w:t>
      </w:r>
      <w:r>
        <w:rPr>
          <w:sz w:val="28"/>
          <w:szCs w:val="28"/>
          <w:highlight w:val="none"/>
        </w:rPr>
        <w:t xml:space="preserve"> 4 819,7 млн. рублей, фактическое выполнение составило 4 553,5 млн. рублей или 94,5% от утвержденной стоимости и 106,2% к соответствующему показателю прошлого года (4 289,6 млн. рублей)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pStyle w:val="741"/>
        <w:ind w:firstLine="720"/>
        <w:jc w:val="both"/>
        <w:spacing w:after="0" w:line="283" w:lineRule="atLeast"/>
        <w:shd w:val="clear" w:color="ffffff" w:themeColor="background1" w:fill="ffffff" w:themeFill="background1"/>
        <w:tabs>
          <w:tab w:val="left" w:pos="72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стоимость стационарной медицинс</w:t>
      </w:r>
      <w:r>
        <w:rPr>
          <w:sz w:val="28"/>
          <w:szCs w:val="28"/>
          <w:highlight w:val="none"/>
        </w:rPr>
        <w:t xml:space="preserve">кой помощи утверждена в сумме 5 564,0 млн. рублей, фактич</w:t>
      </w:r>
      <w:r>
        <w:rPr>
          <w:sz w:val="28"/>
          <w:szCs w:val="28"/>
          <w:highlight w:val="none"/>
        </w:rPr>
        <w:t xml:space="preserve">еское выполнение составило 5 580,5 млн. рублей или 100,3% от утвержденной стоимости и 101,5% к аналогичному показателю прошлого года (5 497,4 млн. рублей);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41"/>
        <w:ind w:firstLine="720"/>
        <w:jc w:val="both"/>
        <w:spacing w:after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стоимость медицинской помощи в дневных стационарах утверждена в сумме 1 282,3 млн. рублей, фактически выполне</w:t>
      </w:r>
      <w:r>
        <w:rPr>
          <w:sz w:val="28"/>
          <w:szCs w:val="28"/>
          <w:highlight w:val="none"/>
        </w:rPr>
        <w:t xml:space="preserve">но 1246,1 млн. рублей или 97,2% от утвержденной стоимости и 113,2% к соответствующему показателю 2025 года (1 100,6 млн. рублей)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41"/>
        <w:ind w:firstLine="720"/>
        <w:jc w:val="both"/>
        <w:spacing w:after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стоимость скорой медицинской помощи утверждена в сумме 765,5 млн. рублей, фактически выполнено 758,0 млн. рублей или 99,0% </w:t>
      </w:r>
      <w:r>
        <w:rPr>
          <w:sz w:val="28"/>
          <w:szCs w:val="28"/>
          <w:highlight w:val="none"/>
        </w:rPr>
        <w:t xml:space="preserve">от утвержденной стоимости и 107,2% к соответствующему показателю прошлого года (706,8 млн. рублей)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41"/>
        <w:ind w:firstLine="720"/>
        <w:jc w:val="both"/>
        <w:spacing w:after="0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:lang w:eastAsia="ru-RU"/>
        </w:rPr>
        <w:t xml:space="preserve">Объемы медицинской помощи, установленные Комиссией по разработке территориальной программы ОМС, выполнены медицинскими организациями в I полугодии текущего года: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pStyle w:val="741"/>
        <w:ind w:firstLine="720"/>
        <w:jc w:val="both"/>
        <w:spacing w:after="0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:lang w:eastAsia="ru-RU"/>
        </w:rPr>
        <w:t xml:space="preserve">- по стационарной медицинской помощи в целом – на 103,7%;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pStyle w:val="741"/>
        <w:ind w:firstLine="720"/>
        <w:jc w:val="both"/>
        <w:spacing w:after="0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:lang w:eastAsia="ru-RU"/>
        </w:rPr>
        <w:t xml:space="preserve">- по амбулаторной медицинской помощи в части посещений для проведения профилактических медицинских осмотров – на 141,5%,</w:t>
      </w:r>
      <w:r>
        <w:rPr>
          <w:sz w:val="28"/>
          <w:szCs w:val="28"/>
          <w:highlight w:val="none"/>
          <w:lang w:eastAsia="ru-RU"/>
        </w:rPr>
        <w:t xml:space="preserve"> </w:t>
      </w:r>
      <w:r>
        <w:rPr>
          <w:sz w:val="28"/>
          <w:szCs w:val="28"/>
          <w:highlight w:val="none"/>
          <w:lang w:eastAsia="ru-RU"/>
        </w:rPr>
        <w:t xml:space="preserve">в части посещений по диспансеризации – на 129,6%</w:t>
      </w:r>
      <w:r>
        <w:rPr>
          <w:sz w:val="28"/>
          <w:szCs w:val="28"/>
          <w:highlight w:val="none"/>
          <w:lang w:eastAsia="ru-RU"/>
        </w:rPr>
        <w:t xml:space="preserve"> </w:t>
      </w:r>
      <w:r>
        <w:rPr>
          <w:sz w:val="28"/>
          <w:szCs w:val="28"/>
          <w:highlight w:val="none"/>
          <w:lang w:eastAsia="ru-RU"/>
        </w:rPr>
        <w:t xml:space="preserve">по обращениям по поводу заболеваний</w:t>
      </w:r>
      <w:r>
        <w:rPr>
          <w:sz w:val="28"/>
          <w:szCs w:val="28"/>
          <w:highlight w:val="none"/>
          <w:lang w:eastAsia="ru-RU"/>
        </w:rPr>
        <w:t xml:space="preserve"> – на 109,4%; по посещениям в неотложной форме – на 102,5%;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pStyle w:val="741"/>
        <w:ind w:firstLine="720"/>
        <w:jc w:val="both"/>
        <w:spacing w:after="0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:lang w:eastAsia="ru-RU"/>
        </w:rPr>
        <w:t xml:space="preserve">- по медицинской помощи, оказанной в дневных стационарах всех типов - на 110,5%;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pStyle w:val="741"/>
        <w:ind w:firstLine="720"/>
        <w:jc w:val="both"/>
        <w:spacing w:after="0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:lang w:eastAsia="ru-RU"/>
        </w:rPr>
        <w:t xml:space="preserve">- по скорой медицинской помощи – на 88,2% и на 87,8% к уровню аналогичного показателя прошлого года.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pStyle w:val="741"/>
        <w:ind w:firstLine="720"/>
        <w:jc w:val="both"/>
        <w:spacing w:after="0"/>
        <w:rPr>
          <w:sz w:val="28"/>
          <w:szCs w:val="28"/>
          <w:highlight w:val="none"/>
          <w:lang w:eastAsia="ru-RU"/>
          <w14:ligatures w14:val="none"/>
        </w:rPr>
      </w:pPr>
      <w:r>
        <w:rPr>
          <w:sz w:val="28"/>
          <w:szCs w:val="28"/>
          <w:highlight w:val="none"/>
          <w:lang w:eastAsia="ru-RU"/>
        </w:rPr>
        <w:t xml:space="preserve">В части медицинской</w:t>
      </w:r>
      <w:r>
        <w:rPr>
          <w:sz w:val="28"/>
          <w:szCs w:val="28"/>
          <w:highlight w:val="none"/>
          <w:lang w:eastAsia="ru-RU"/>
        </w:rPr>
        <w:t xml:space="preserve"> помощи по профилю «Медицинская реабилитация» утвержденные объемы медицинской помощи в I полугодии 2026 году выполнены:</w:t>
      </w:r>
      <w:r>
        <w:rPr>
          <w:sz w:val="28"/>
          <w:szCs w:val="28"/>
          <w:highlight w:val="none"/>
          <w:lang w:eastAsia="ru-RU"/>
          <w14:ligatures w14:val="none"/>
        </w:rPr>
      </w:r>
      <w:r>
        <w:rPr>
          <w:sz w:val="28"/>
          <w:szCs w:val="28"/>
          <w:highlight w:val="none"/>
          <w:lang w:eastAsia="ru-RU"/>
          <w14:ligatures w14:val="none"/>
        </w:rPr>
      </w:r>
    </w:p>
    <w:p>
      <w:pPr>
        <w:pStyle w:val="741"/>
        <w:ind w:firstLine="720"/>
        <w:jc w:val="both"/>
        <w:spacing w:after="0"/>
        <w:rPr>
          <w:sz w:val="28"/>
          <w:szCs w:val="28"/>
          <w:highlight w:val="none"/>
          <w:lang w:eastAsia="ru-RU"/>
          <w14:ligatures w14:val="none"/>
        </w:rPr>
      </w:pPr>
      <w:r>
        <w:rPr>
          <w:sz w:val="28"/>
          <w:szCs w:val="28"/>
          <w:highlight w:val="none"/>
          <w:lang w:eastAsia="ru-RU"/>
        </w:rPr>
        <w:t xml:space="preserve">- в стационарных условиях – на 79,8% по объемам и 104,9% по финансовому обеспечению;</w:t>
      </w:r>
      <w:r>
        <w:rPr>
          <w:sz w:val="28"/>
          <w:szCs w:val="28"/>
          <w:highlight w:val="none"/>
          <w:lang w:eastAsia="ru-RU"/>
          <w14:ligatures w14:val="none"/>
        </w:rPr>
      </w:r>
      <w:r>
        <w:rPr>
          <w:sz w:val="28"/>
          <w:szCs w:val="28"/>
          <w:highlight w:val="none"/>
          <w:lang w:eastAsia="ru-RU"/>
          <w14:ligatures w14:val="none"/>
        </w:rPr>
      </w:r>
    </w:p>
    <w:p>
      <w:pPr>
        <w:pStyle w:val="741"/>
        <w:ind w:firstLine="720"/>
        <w:jc w:val="both"/>
        <w:spacing w:after="0"/>
        <w:rPr>
          <w:sz w:val="28"/>
          <w:szCs w:val="28"/>
          <w:highlight w:val="none"/>
          <w:lang w:eastAsia="ru-RU"/>
          <w14:ligatures w14:val="none"/>
        </w:rPr>
      </w:pPr>
      <w:r>
        <w:rPr>
          <w:sz w:val="28"/>
          <w:szCs w:val="28"/>
          <w:highlight w:val="none"/>
          <w:lang w:eastAsia="ru-RU"/>
        </w:rPr>
        <w:t xml:space="preserve">- в условиях дневного стационара - на 117,1% по объ</w:t>
      </w:r>
      <w:r>
        <w:rPr>
          <w:sz w:val="28"/>
          <w:szCs w:val="28"/>
          <w:highlight w:val="none"/>
          <w:lang w:eastAsia="ru-RU"/>
        </w:rPr>
        <w:t xml:space="preserve">емам и 111,1% по финансовому обеспечению;</w:t>
      </w:r>
      <w:r>
        <w:rPr>
          <w:sz w:val="28"/>
          <w:szCs w:val="28"/>
          <w:highlight w:val="none"/>
          <w:lang w:eastAsia="ru-RU"/>
          <w14:ligatures w14:val="none"/>
        </w:rPr>
      </w:r>
      <w:r>
        <w:rPr>
          <w:sz w:val="28"/>
          <w:szCs w:val="28"/>
          <w:highlight w:val="none"/>
          <w:lang w:eastAsia="ru-RU"/>
          <w14:ligatures w14:val="none"/>
        </w:rPr>
      </w:r>
    </w:p>
    <w:p>
      <w:pPr>
        <w:pStyle w:val="741"/>
        <w:ind w:left="0" w:firstLine="708"/>
        <w:jc w:val="both"/>
        <w:spacing w:after="0"/>
        <w:rPr>
          <w:sz w:val="28"/>
          <w:szCs w:val="28"/>
          <w:highlight w:val="none"/>
          <w:lang w:eastAsia="ru-RU"/>
          <w14:ligatures w14:val="none"/>
        </w:rPr>
      </w:pPr>
      <w:r>
        <w:rPr>
          <w:sz w:val="28"/>
          <w:szCs w:val="28"/>
          <w:highlight w:val="none"/>
          <w:lang w:eastAsia="ru-RU"/>
        </w:rPr>
      </w:r>
      <w:r>
        <w:rPr>
          <w:sz w:val="28"/>
          <w:szCs w:val="28"/>
          <w:highlight w:val="none"/>
          <w:lang w:eastAsia="ru-RU"/>
        </w:rPr>
        <w:t xml:space="preserve">- в</w:t>
      </w:r>
      <w:r>
        <w:rPr>
          <w:sz w:val="28"/>
          <w:szCs w:val="28"/>
          <w:highlight w:val="none"/>
          <w:lang w:eastAsia="ru-RU"/>
        </w:rPr>
        <w:t xml:space="preserve"> амбулаторных условиях -</w:t>
      </w:r>
      <w:r>
        <w:rPr>
          <w:sz w:val="28"/>
          <w:szCs w:val="28"/>
          <w:highlight w:val="none"/>
          <w:lang w:eastAsia="ru-RU"/>
        </w:rPr>
        <w:t xml:space="preserve"> на 120,3% по объ</w:t>
      </w:r>
      <w:r>
        <w:rPr>
          <w:sz w:val="28"/>
          <w:szCs w:val="28"/>
          <w:highlight w:val="none"/>
          <w:lang w:eastAsia="ru-RU"/>
        </w:rPr>
        <w:t xml:space="preserve">емам и 118,1% по финансовому обеспечению.</w:t>
      </w:r>
      <w:r>
        <w:rPr>
          <w:sz w:val="28"/>
          <w:szCs w:val="28"/>
          <w:highlight w:val="none"/>
          <w:lang w:eastAsia="ru-RU"/>
          <w14:ligatures w14:val="none"/>
        </w:rPr>
      </w:r>
      <w:r>
        <w:rPr>
          <w:sz w:val="28"/>
          <w:szCs w:val="28"/>
          <w:highlight w:val="none"/>
          <w:lang w:eastAsia="ru-RU"/>
          <w14:ligatures w14:val="none"/>
        </w:rPr>
      </w:r>
    </w:p>
    <w:p>
      <w:pPr>
        <w:ind w:firstLine="720"/>
        <w:jc w:val="both"/>
        <w:spacing w:after="0" w:line="283" w:lineRule="atLeast"/>
        <w:shd w:val="clear" w:color="ffffff" w:themeColor="background1" w:fill="ffffff" w:themeFill="background1"/>
        <w:widowControl w:val="off"/>
        <w:tabs>
          <w:tab w:val="left" w:pos="720" w:leader="none"/>
        </w:tabs>
        <w:rPr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Стоимость специализированной медицинской помощи пациентам со злокачественными новообразованиями (ЗНО), принятой к оплате, за I полугодие 2026 года составила 1 261,0 млн. рублей (104% от запланированной суммы –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1 208,1 млн. рублей), в том числе в стационарных условиях – 688,2 млн. рублей, в условиях дневного стационара – 572,8 млн. рублей. 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pacing w:after="0" w:line="283" w:lineRule="atLeast"/>
        <w:shd w:val="clear" w:color="ffffff" w:themeColor="background1" w:fill="ffffff" w:themeFill="background1"/>
        <w:widowControl w:val="off"/>
        <w:tabs>
          <w:tab w:val="left" w:pos="720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Средняя стоимость 1 случая специализированного лечения пациентов с ЗНО за отчетный период составила в целом 67,7 тыс. рублей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, в стационарных условиях – 73,3 тыс. рублей (при плановой средней стоимости 103,0 тыс. рублей), в условиях дневного стационара – 61,9 тыс. рублей (при плановой средней стоимости 80,1 тыс. рублей).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after="0" w:line="283" w:lineRule="atLeast"/>
        <w:shd w:val="clear" w:color="ffffff" w:themeColor="background1" w:fill="ffffff" w:themeFill="background1"/>
        <w:widowControl w:val="off"/>
        <w:tabs>
          <w:tab w:val="left" w:pos="720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Объем специализированной медицинской помощи пациентам с ЗН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 за I полугодие 2026 года составил 18 630 случаев, в том числе в круглосуточном стационаре – 9 381 случаев (167% от запланированного объема – 5 610 госпитализаций), в дневном стационаре – 9 249 случаев (118% от запланированного объема – 7 864 госпитализац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ии).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проведения ди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спансеризации взрослого населения, включая углубленную и по оценке репродуктивного здоровья, на 6 месяцев 2026 года установлен в количестве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253 454 человек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рамках диспансеризации,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включая углубленную и по оценке репродуктивного здоровья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 с учетом лиц, застрахованных на территории Липецкой об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ласти, прошедших ДВН за пределами страхования, п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 результатам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фактически оплаченной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медицинской помощи осмотрено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310 978 человек или 123% от утвержденного плана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Всего оплачено счетов за проведенную диспансеризацию в рамках 1 и 2 этапов на сумму 891,6 млн. рублей, из них на территории страхования - 890,8 млн. рублей. </w:t>
      </w:r>
      <w:r>
        <w:rPr>
          <w:highlight w:val="none"/>
        </w:rPr>
      </w:r>
      <w:r>
        <w:rPr>
          <w:highlight w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по реализации профилактических медицинских осмотров взрослого населения на январь-июнь 2026 года установлен в размере 55 337 человек.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В рамках оплаченной медпомощи ф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актически осмотрено 105 % от утвержденного плана или 58 340 человек. Общая сумма за проведение профилактических медицинских осмотров, принятая к оплате за январь-июнь 2026 года, составила 73,8 млн. рублей. П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лан по проведению профилактических медицинских осмотров взрослого населения,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утвержденный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полугодие 2026 года, из 23 медицинских учреждений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не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выполнили 10 МО, в том числе: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numPr>
          <w:ilvl w:val="0"/>
          <w:numId w:val="2"/>
        </w:numPr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ГУЗ «Липецкая ГБ №4 Липецк-Мед» - 96%;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75"/>
        <w:numPr>
          <w:ilvl w:val="0"/>
          <w:numId w:val="2"/>
        </w:numPr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ГУЗ «ЛОКЦ» - 92%;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75"/>
        <w:numPr>
          <w:ilvl w:val="0"/>
          <w:numId w:val="2"/>
        </w:numPr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ГУЗ «Липецкая ГБ СМП №1» - 97%;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75"/>
        <w:numPr>
          <w:ilvl w:val="0"/>
          <w:numId w:val="2"/>
        </w:numPr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ГУЗ «Данковская ЦРБ» - 98%;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75"/>
        <w:numPr>
          <w:ilvl w:val="0"/>
          <w:numId w:val="2"/>
        </w:numPr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ГУЗ «Добринская ЦРБ» - 86%;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75"/>
        <w:numPr>
          <w:ilvl w:val="0"/>
          <w:numId w:val="2"/>
        </w:numPr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ГУЗ «Долгоруковская РБ» - 93%;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75"/>
        <w:numPr>
          <w:ilvl w:val="0"/>
          <w:numId w:val="2"/>
        </w:numPr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ГУЗ «Задонская ЦРБ» - 92%;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75"/>
        <w:numPr>
          <w:ilvl w:val="0"/>
          <w:numId w:val="2"/>
        </w:numPr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ГУЗ «Измалковская РБ» - 96%;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75"/>
        <w:numPr>
          <w:ilvl w:val="0"/>
          <w:numId w:val="2"/>
        </w:numPr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ГУЗ «Лебедянская ЦРБ» - 82%;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75"/>
        <w:numPr>
          <w:ilvl w:val="0"/>
          <w:numId w:val="2"/>
        </w:numPr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ГУЗ «Тербунская ЦРБ» - 92%.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по проведению профилактических медицинских осмотров несовершеннолетних на январь-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июнь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2026 года установлен в количестве 126 408 человек.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Фактически осмотрено 128 542 человека или 102% от утвержденного плана,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сумма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принятая к оплате составила 302,5 млн. рублей.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Из 19 медицинских организаций, проводивших профилактические медицинские осмотры несовершеннолетних, не выполнили установленный план - 5 МО, в том числе:</w:t>
      </w:r>
      <w:r>
        <w:rPr>
          <w:highlight w:val="none"/>
        </w:rPr>
      </w:r>
      <w:r>
        <w:rPr>
          <w:highlight w:val="none"/>
        </w:rPr>
      </w:r>
    </w:p>
    <w:p>
      <w:pPr>
        <w:pStyle w:val="775"/>
        <w:numPr>
          <w:ilvl w:val="0"/>
          <w:numId w:val="1"/>
        </w:numPr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ГУЗ «Липецкая городская детская больница» - 92,8%;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numPr>
          <w:ilvl w:val="0"/>
          <w:numId w:val="1"/>
        </w:numPr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ГУЗ «Добринская ЦРБ»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- 97,4%;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numPr>
          <w:ilvl w:val="0"/>
          <w:numId w:val="1"/>
        </w:numPr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ГУЗ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Добровская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РБ» - 62,3%;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numPr>
          <w:ilvl w:val="0"/>
          <w:numId w:val="1"/>
        </w:numPr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ГУЗ «Задонская ЦРБ» - 87,6%;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numPr>
          <w:ilvl w:val="0"/>
          <w:numId w:val="1"/>
        </w:numPr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ГУЗ «Тербунская ЦРБ»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- 99,4%.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ind w:firstLine="708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по диспансеризации детей-сирот, усыновленных и принятых под опеку на январь-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июнь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2026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года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составил 785 челов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ек. Фактически осмотрено 108% от утвержденного плана или 844 человек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на сумму 5,2 млн. рублей.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Из 13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медицинских организаций, проводивших диспансеризацию детей-сирот, усыновленных и принятых под опеку, не выполнили установленный план - 5 МО, в том числе: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numPr>
          <w:ilvl w:val="0"/>
          <w:numId w:val="3"/>
        </w:numPr>
        <w:ind w:left="720" w:right="0" w:hanging="295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ГУЗ «Липецкая ГБ №4 Липецк-Мед» - 91%;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numPr>
          <w:ilvl w:val="0"/>
          <w:numId w:val="3"/>
        </w:numPr>
        <w:ind w:left="720" w:right="0" w:hanging="295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ГУЗ «Липецкая ГБ № 3 «Свободный Сокол»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- 92%;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numPr>
          <w:ilvl w:val="0"/>
          <w:numId w:val="3"/>
        </w:numPr>
        <w:ind w:left="720" w:right="0" w:hanging="295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ГУЗ «Липецкая городская поликлиника № 4»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- 61%;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numPr>
          <w:ilvl w:val="0"/>
          <w:numId w:val="3"/>
        </w:numPr>
        <w:ind w:left="720" w:right="0" w:hanging="295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ГУЗ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Добровская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РБ»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- 55%;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numPr>
          <w:ilvl w:val="0"/>
          <w:numId w:val="3"/>
        </w:numPr>
        <w:ind w:left="720" w:right="0" w:hanging="295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ГУЗ «Лебедянская ЦРБ» - 60%.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План по диспансеризации детей-сирот, пребывающих в стационарных учреждениях за 6 месяцев 2026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года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составил 628 человек. Фактически обследовано 539 детей, что составило 86% от утвержденного плана на сумму 3,4 млн. рублей.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ind w:firstLine="708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Чи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сло п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ациентов, подлежащих диспансерному наблюдению за I полугодие 2026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года, составило 142 499 человек. Получили услуги по диспансерному наблюдению 125 661 человек или 88% от планового показателя. В I полугодии 2026 года проведено 158 215 комплексных посещений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по диспансерному наблюдению, что составляет 105% от планового объема (150 573 посещений).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ind w:firstLine="708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За I полугодие 2026 года медицинскими организациями Лип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ецкой области оказана медицинская помощь 15 389 иногородним пациентам на общую сумму 225,2 млн. рублей, котора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я оплачена по предъявленным счетам и реестрам в полном объеме.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Медицинскими организациями Липецкой области лицам, застрахованным на других территориях РФ, оказана медицинская помощь по следующим основным профилям: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акушерство и гинекология – 1 913 случаев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на сумму 15,9 млн. рублей (в т.ч. ЭКО – 4 случая на 0.5 млн. рублей);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кардиология – 581 случай на сумму 13,9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нефрология – 509 случаев на сумму 6,5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неврология – 1 379 случаев на сумму 18,0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онкология - 431 случ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ай на сумму 11,9 млн. рублей (в т.ч. химиотерапия – 55 случаев на сумму 5,1 млн. рублей);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офтальмология – 3 340 случаев на сумму 49,2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травматология и ортопедия – 1 577 случаев на сумму 11,0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сердечно-сосудистая хирургия – 81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случай на сумму 4,7 млн. рублей.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ind w:firstLine="708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За I полугодие 2026 года территориальными фондами ОМС других субъектов РФ предъявлено счетов и реестров за оказанную медицинскую помощь 13 279 пациентам, застрахованным на территории Липецкой области, на сумму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436,1 млн. рублей, в том числе по высокотехнологичной медицинской помощи – 41,2 млн. рублей. Перечислено средств по предъявленным счетам за I полугодие 2026 года – 436,1 млн. рублей. Задолженность по оплате счетов на 01.07.2026 отсутствует.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Медицинскими ор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ганизациями других субъектов Российской Федерации, пациентам, застрахованным на территории Липецкой области, медицинская помощь оказана по следующим основным профилям: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акушерство и гинекология – 1 156 случаев на сумму 12,8 млн. рублей (в т.ч. ЭКО - 26 сл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учаев на сумму 2,8 млн. рублей);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инфекционные болезни – 399 случаев на сумму 6,6 млн. рублей;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кардиология – 536 случаев на сумму 18,2 млн. рублей;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 медицинская реабилитация – 111 случаев на сумму 8,9 млн. рублей;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неврология – 661 случай на сумму 15,3 млн. рублей;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 нейрохирургия – 222 случая на сумму 9,2 млн. рублей;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онкология – 6 171 случай на сумму 181,4 млн. рублей (в т.ч. -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химиотерапия – 497 случаев на сумму 141,7 млн. рублей);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офтальмология – 1 004 слу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чая на сумму 5,9 млн. рублей;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сердечно-сосудистая хирургия – 138 случаев на сумму 16,9 млн. рублей;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травматология и ортопедия – 1 552 случая на сумму 35,5 млн. рублей;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урология – 349 случаев на сумму 8,2 млн. рублей.</w:t>
      </w:r>
      <w:bookmarkStart w:id="0" w:name="_GoBack"/>
      <w:r>
        <w:rPr>
          <w:highlight w:val="none"/>
        </w:rPr>
      </w:r>
      <w:bookmarkEnd w:id="0"/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Расходы медицинских организаций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за I полугодие 2026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года составили 11 232,2 млн. рублей, что выше показателя прошлого года на 7,2% или 756,0 млн. рублей (10 476,2 млн. рублей), в том числе: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на оплату труда с начислениями – 7 964,9 млн. рублей, что составляет 107,4% от уровня прошлого г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ода (7 412,7 млн. рублей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);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оплата за медикаменты – 1 691,5млн. рублей, что выше на 7,6% уровня прошлого года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(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1 676,2 млн. рублей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);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оплата за продукты питания – 131,2 млн. рублей, что практически на уровне показателя прошлого года или 98,6% (133,1 млн. рублей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);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расходы, услуги по содержанию имущества – 254,7 млн. рублей, что выше уровня прошлого года на 21,6% (209,5 млн. рублей);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- оплата коммунальных услуг – 440,1 млн. рублей, что выше уровня прошлого года на 29,2% (340,7 млн. рублей).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line="283" w:lineRule="atLeast"/>
        <w:shd w:val="clear" w:color="ffffff" w:themeColor="background1" w:fill="ffffff" w:themeFill="background1"/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Таким образом, наибольшую долю в структуре расходов занимают расходы на заработную плату с начислениями – 70,9%, при этом темпы роста данных расхо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дов в сравнении с предыдущим периодом (7,4%) не превышают темпы ро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 xml:space="preserve">ста по другим видам расходов (рост расходов на оплату коммунальных услуг - 29,2%, услуг по содержанию имущества – на 21,6%).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1"/>
        <w:ind w:left="0" w:firstLine="709"/>
        <w:jc w:val="both"/>
        <w:spacing w:after="0" w:line="283" w:lineRule="atLeast"/>
        <w:shd w:val="clear" w:color="ffffff" w:themeColor="background1" w:fill="ffffff" w:themeFill="background1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Наиболее высокий темп роста расходов медицинских организаций за 2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026 год наблюдается по расходам на коммунальные услуги – 129,2% и по расходам на содержание имущества – 121,6%, при этом доля этих расходов в общем объеме расходов медицинских организаций незначительна – 3,9% и 2,3% соответственно.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Средняя заработная плата работников государственных медицинских организаций Липецкой области в системе ОМС за 6 месяцев 2026 года составила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61,85 тыс. рублей, что на 11,6% выше аналогичного показателя прошлого года (55,4 тыс. рублей) в том числе: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амбулаторно-поликлиническому звену средняя зарплата медицинских работников по сравнению с аналогичным периодом прошлого года возросла на 8% и составила 61,82 тыс. рублей (январь-июнь 2025 года – 57,26 тыс. рублей);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в стационарном звене рост средней зарплаты медицинских работников составил 14,6 % - 81,44 тыс. рублей (январь-июнь 2025 года – 71,08 тыс. рублей);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в подразделениях скорой медицинской помощи средняя зарплата медицинских работников из средств ОМС составила 71,83 тыс. рублей, рост – 8,4 % (январь-июнь 2025 года – 66,29 тыс. рублей).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Средняя заработная плата по категориям персонала в отчетном периоде по сравнению с аналогичным периодом прошлого года сложилась следующим образом: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врачебным кадрам средняя зарплата увеличилась на 9,9% и составила 108,49 тыс. рублей (98,69 тыс. рублей за 6 месяцев 2025 года);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среднему медицинскому персоналу средняя заработная плата составила 59,66 тыс. рублей (за 1 полугодие 2025 года - 53,84 тыс. рублей), увеличение произошло на 10,8%;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младшему медицинскому персоналу средняя зарплата увеличилась на 11,9% и составила 57,62 тыс. рублей (показатель за январь-июнь 2025 года был равен 51,48 тыс. рублей);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прочему персоналу средняя заработная плата достигла уровня 39,88 тыс. рублей, за 6 месяцев 2025 года данный показатель составлял 34,98 тыс. рублей, т.е. динамика роста составила + 14%;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АУП средняя зарплата увеличилась на 8,8% и составила 96,15 тыс. рублей (уровень за январь-июнь 2025 года составлял - 88,40 тыс. рублей).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Во исполнение пункта 7.1 части 2 статьи 20 Федерального закона № 326-Ф3 «Об обязательном медицинском страховании», Правил использования средств нормированного страхово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го запаса, на 2026 год был утвержден План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на сумму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34 648,3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тыс. рублей, в том числе на дополнительное профессиональное образование медицинских работников – 77,8 тыс. рублей, на проведение ремонта медицинского оборудования – 1 664,4 тыс. рублей, на приобретение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медицинского оборудования – 32 906,1 тыс. рублей.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 I полугодии 2026 года подписаны соглашения о финансовом обеспечен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ии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с 6 медицинскими организациями Липецкой области.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Распоряжением Правительства Российской Федерации от 10.12.2025 № 3685-р в целях реализации пункта 4 части 6 статьи 26 Федерального закона № 326-ФЗ «Об обязательном медицинском страховании в Российской Федерации» для Липецкой области на 2026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год  предусмотрено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финансовое обеспечение в размере 69 568,2 тыс. рублей на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софинансирование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расходов медицинских организаций на оплату труда врачей и среднего медицинского персонала за счет средств нормированного страхового запаса.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 течение 6 месяцев 2026 года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 медицинские организации в соответствии с их заявками было направлено 7 957,1 тыс. рублей.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Из средств нормированного страхового запаса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за I полугодие 2026 года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осуществлено финансирование заработной платы 138 медицинских работников (в том числе 53 врачей и 85 человек среднего медицинского персонала).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На 2026 год, распоряжением правительства РФ от 12.12.2025 № 3764-р на реализацию мероприятий по осуществлению денежных выплат стимулирующего характера медицинским работникам за выявление онкологических заболеваний в ходе проведения диспансеризации и профил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актических медицинских осмотров населения выделено 263,8 тыс. рублей. За I полугодие 2026 года в медицинские организации области перечислено 168,2 тыс. рублей (64%) - 101 случай.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 соответствии с Федеральным законом от 29.11.2010 № 326-ФЗ «Об обязательном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медицинском страховании в Российской Федерации» и действующими нормативными документами в области обязательного медицинского страхования, ТФОМС Липецкой области осуществляет контроль использования финансовых средств обязательного медицинского страхования м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едицинскими организациями и страховыми медицинскими организациями путем проведения проверок.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Основанием для проведения проверки являлся приказ директора ТФОМС Липецкой области, который определяет тему проверки, проверяемый период, руководителя комиссии, с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остав комиссии, сроки проведения проверки, форму проверки.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 план проверок на I полугодие 2026 года включены 20 медицинских организаций и 2 страховые медицинские организации. Фактически за период январь-июнь 2026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года проведено 25 проверок, в том числе в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медицинских организациях - 20 плановых комплексных проверок и 1 внеплановая проверка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,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в страховых медицинских организациях - 2 плановые комплексные проверки и 2 внеплановые проверки. В медицинской организации внеплановая проверка проведена по обращению те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рриториального органа Федеральной службы по надзору в сфере здравоохранения по Воронежской и Липецкой области, в страховых медицинских организациях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проверки осуществлялись в связи с обращением страховой медицинской организации в территориальный фонд с з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аявкой на предоставление недостающих средств для оплаты медицинской помощи в рамках терр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иториальной программы о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бязательного медицинского страхования</w:t>
      </w:r>
      <w:r>
        <w:rPr>
          <w:rFonts w:ascii="Times New Roman" w:hAnsi="Times New Roman" w:cs="Times New Roman"/>
          <w:sz w:val="28"/>
          <w:szCs w:val="28"/>
          <w:highlight w:val="none"/>
          <w:lang w:eastAsia="ru-RU" w:bidi="en-US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 w:bidi="en-US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Остаток не восстановленных средств ОМС по состоянию на 01.01.2026 года составил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8 063,1 тыс. р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ублей.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По итогам проверок за январь - июнь 2026 года в медицинских организациях сумма использованных с нарушениями средств составила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4 351,3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тыс. рублей: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Оплата расходов, не включенных в структуру тарифа на оплату медицинской помощи в рамках территориальной программы ОМС - 4 132,0 тыс. рублей или 95% от выявленной суммы нецелевого использования средств ОМС: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104,4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тыс. рублей - обучение по темам, не связанным с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оказанием медицинской помощи в рамках территориальной программы ОМС;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- 1 640,9 тыс. рублей - оплата труда специалиста по социальной работе;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223,5 тыс. рублей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- оплата командировочных расходов не связанных с оказанием медицинской помощи;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- 110,0 тыс. рублей - работы капитального характера;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- 2006,7 тыс. рублей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 выплаты выходного пособия, предусмотренные статьей 178 ТК РФ;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- 46,5 тыс. рублей - рекламные услуги.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Финансирование структурных подразделений медицинских организаций, финансируемых из ин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ых источников - 219,3 тыс. рублей или 5% от выявленной суммы нецелевого использования средств ОМС: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- 80,6 тыс. рублей - оплата труда специалиста по связям с общественностью;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- 4,3 тыс. рублей - расходы на выполнение государственных обязанностей;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- 134,4 тыс. рублей - оплата дополнительных отпусков, не связанных с реализацией территориальной программы ОМС.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Возвращено в I полугодии 2026 в бюджет ТФОМС Липецкой области в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соответствии с требованиями Федерального закона от 29.11.2010 № 326-ФЗ «Об обяз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ательном медицинском страховании в Российской Федерации» 5 809,2 тыс. рублей.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Решением Арбитражного суда Липецкой области по делу № А36-7829/2024 отказано в удовлетворении заявления ООО «Промышленная Медицинская Компания — Медицинский Центр», при этом р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азмер н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ецелевого использования средств ОМС, подлежащих взысканию уменьшен на 79,6 тыс. рублей.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Остаток не восстановленных средств по состоянию на 01.07.2026 составил 6 525,6 тыс. рублей.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Остаток задолженности по штрафам, пеням по состоянию на 01.01.2026 года составлял 1 991,4 тыс. рублей.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Сумма предъявленных штрафов, пеней за использование с нарушениями средств ОМС по результатам проверок деятельности медицинских организаций в сфере обязател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ьного медицинского страхова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ния за 6 месяцев 2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026 года составила 868,0 тыс. рублей - в том числе: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штрафы за нецелевое использование средств ОМС - 435,1 тыс. рублей;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пени от суммы нецелевого использования средств ОМС за каждый день просрочки - 432,9 тыс. рублей.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Сумма средств от применения штрафов, пеней по результатам проверок  медицинских организаций в отчетном периоде перечислена на счет ТФОМС Липецкой области  в разм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ере 1 576,2 тыс. рублей.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Уменьшено в отчетном периоде сумм предъявленных штрафов, пеней за нецелевое использование средств ОМС по результатам проверок по решениям судебных органов в размере 637,3 тыс. рублей, в том числе: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решением Арбитражного суда Липецкой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области по делу № А36-7829/2024 отказано в удовлетворении заявления ООО «Промышленная Медицинская Компания — Медицинский Центр», при этом сумма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штрафа уменьшена на 8,0 тыс. рублей.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решением Арбитражного суда Липецкой области по делу № А36-7221/2025 подлежит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взысканию с ГУЗ «ЦСМПиМК в пользу ТФОМС Липецкой области 1 505,4 тыс. рублей. При этом сумма штрафа уменьшена на 321,0 тыс. рублей.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р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ешением Арбитражного суда Липецкой области по делу № А36-10614/2025 с ГУЗ «Липецкая областная клиническая больниц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а» в пользу ТФОМС Липецкой области подлежат взысканию пени в размере 194,9 тыс. рублей за несвоевременный возврат использованных с нарушениями средств ОМС. Сумма скорректирована на 7,5 тыс. рублей.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решением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Арбитражного суда Липецкой области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по делу № А36-11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965/2025 с ГУЗ «Липецкая городская поликлиника № 4» в пользу ТФОМС Липецкой области подлежат взысканию пени в размере 100,3 тыс. рублей за несвоевременный возврат использованных с нарушениями средств ОМС. Размер суммы пени уменьшен на 300,8 тыс. рублей.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Остато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к задолженности по штрафам, пеням за нецелевое использование средств ОМС по результатам проверок отчетного периода по состоянию на 01.07.2026 составляет 645,9 тыс. рублей, в том числе: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сумма штрафов за нецелевое использование средств ОМС - 545,6 тыс. рублей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сумма пени - 100,3 тыс. рублей.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Остаток задолженности по штрафам, пеням за нарушение договорных обязательств по договору о финансовом обеспечении обязательного медицинского страхования по результатам проверок страховых медицинских организаций по состоянию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на 01.01.2026 составлял 660,5 тыс. рублей.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Предъявлено штрафов за нарушение договорных обязательств за январь-июнь 2026 года на сумму - 12,7 тыс. рублей.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Получено за период январь-июнь 2026 года штрафов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за нарушение договорных обязательств в размере 286,4 тыс. рублей.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На основании решений суда размер штрафа, подлежащий взысканию со страховых медицинских организаций уменьшен на 386,8 тыс. рублей, в том числе: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р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ешением Арбитражного суда Липецкой области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по делу № 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А36-7726/2025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с АО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«Страховая компания «СОГАЗ-МЕД» р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азмер штрафа, подлежащего взысканию уменьшен на 127,3 тыс. рублей;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решением Арбитражного суда Липецкой области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по делу № А36-6338/2025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 АО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«Страховая компания «СОГАЗ-МЕД» в пользу ТФОМС Липецко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й области размер штрафа уменьшен на 54,1 тыс. рублей;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решением Арбитражного суда Липецкой области по делу № А36 -6380/2025 с ООО «Капитал Медицинское страхование» в пользу ТФОМС Липецкой области штраф уменьшен на 205,4 тыс. рублей.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Остаток задолженности по ш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трафам, пени за нарушение договорных обязательств по договору о финансовом обеспечении обязательного медицинского страхования по результатам проверок страховых медицинских организаций по состоянию на 01.07.2026 отсутствует.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Отсутствие должного внутреннего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контроля объемов, сроков, качества и условий предоставления медицинской помощи способствует образованию финансовых потерь в медицинских организациях.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По результатам проверок медицинских организаций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финансовые потери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 результате частичной или полной неоплаты медицинской помощи (в соответствии с Перечнем оснований для частичной или полной неоплаты медицинской помощи по результатам медико-экономического контроля, медико-экономической экспертизы, экспертизы качества мед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ицинской помощи) составили 90 281,1 тыс. рублей.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 ходе контрольных мероприятий за I полугодие 2026 года были установлены нарушения, приведшие к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неэффективному использованию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средств ОМС на сумму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26 097,0 тыс. рублей,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 том числе: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неэффективное использование с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редств ОМС в виде оплаты штрафных санкций по предписаниям страховых медицинских организаций по результатам медико-экономического контроля, медико-экономической экспертизы, экспертизы качества медицинской помощи составило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25 289,6 тыс. рублей;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утилизирован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ные лекарственные средства с истекшим сроком годности - 807,4 тыс. рублей.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 целью исключения случаев неэффективного использования денежных средств ОМС административно-управленческому персоналу медицинских организаций необходимо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усилить внутренний контроль объемов, сроков, качества и условий предоставления медицинской помощи в целях недопущения штрафных санкций по предписаниям страховых медицинских организаций.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Выявленные при проверках нарушения приводят к отвлечению средств обя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зательного медицинского страхования, снижению финансовой устойчивости и частично к образованию кредиторской задолженности в медицинских организациях.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Исключение в медицинских организациях фактов использования с нарушениями средств и неэффективного использ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ования средств ОМС является дополнительным источником для своевременных расчетов с поставщиками за материальные ценности, и как следствие приводит к снижению кредиторской задолженности.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Руководителям медицинских организаций необходимо принять меры по усиле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нию финансовой дисциплины. Недопустимость использования с нарушениями средств  ОМС медицинскими организациями следует признать одним из основополагающих принципов деятельности указанных субъектов, соблюдение которого частично гарантирует достижение поставл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енных перед ними задач.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Приказом Минфина России от 26.09.2024 № 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рафам по ним» установлены м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ероприятия по недопущению образования просроченной дебиторской задолженности по доходам, в том числе урегулирование дебиторской задолженности в досудебном порядке (со дня истечения срока уплаты соответствующего платежа в бюджет (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пеней, штрафов) до начала работы по их принудительному взысканию, а также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я в случаях, предусмотренных законодательством Российской Федерации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 I полугодии 2026 года в рамках осуществления контрольно-ревизионной деятельности в пользу ТФОМС Липецкой области приняты следующие судебные акты: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решением Арбитражного суда Липецкой области от 11.03.2026 по делу № А36- 7829/2024 отказано в удовлетворении заявления ООО «Промышленная Медицинская Компания-Медицинский Центр».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Размер нецелевого использования средств ОМС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626,8 тыс. рублей, штрафные санкц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ии - 484,6 тыс. рублей;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решением Арбитражного суда Липецкой области от 31.03.2026 по делу № А36-10614/2025 с ГУЗ «Липецкая областная клиническая больниц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а» в пользу ТФОМС Липецкой области подлежат взысканию пени в размере 194,9 тыс. рублей за несвоевременный возврат использованных с нарушениями средств ОМС;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решением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Арбитражного суда Липецкой области от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12.05.2026 года по делу № А36-11965/2025 с ГУЗ «Липе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цкая городская поликлиника № 4» в пользу ТФОМС Липецкой области подлежат взысканию пени в размере 100,3 тыс. руб. з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 несвоевременный возврат использованных с нарушениями средств ОМС;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определением Девятнадцатого арбитражного апелляционного суда от 06.04.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026 по делу № А36-7221/2025 апелляционная жалоба ГУЗ «Центр скорой медицинской помощи и медицины катастроф Липецкой области» (ГУЗ «ЦСМПиМК) на решение Арбитражного суда Липецкой области от 04.12.2025 по делу №А36-7221/2025 и приложенные к ней документы воз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вра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щены заявителю. Соответственно, на основании решения Арбитражного суда Липецкой области от 04.12.2025 по делу № А36-7221/2025 подлежит взысканию с ГУЗ «ЦСМПиМК в пользу ТФОМС Липецкой области 1 505,4 тыс. рублей, в том числе сумма средств обязательного мед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ицинского страхования, израсходованных не по целевому назначению 1 469,8 тыс. рублей, штраф за нецелевое использование средств обязательного медицинского страхования в размере 35,7 тыс. рублей.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постановлением Девятнадцатого арбитражного апелляционного суда о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т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21.05.2026 по делу № А36-2327/2025 оставлено без изменения решение Арбитражного суда Липецкой области от 13.01.2026 по делу № А36-2327/2025, согласно которому ООО «МЦ ЖИЗНЬ» полностью отказано в удовлетворении заявления к ТФОМС Липецкой области о признании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недействительным акта проверки использования средств ОМС от 05.12.2024. В пользу ТФОМС Липецкой области подлежит взысканию нецелевое расходованием средств ОМС в сумме 947,1 тыс. рублей, штраф в сумме 94,7 тыс. рублей;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р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ешением Арбитражного суда Липецкой обла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сти от 06.03.2026 по делу № 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А36-7726/2025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с АО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«Страховая компания «СОГАЗ-МЕД»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в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пользу ТФОМС Липецкой области подлежит взысканию штраф в размере 14,1 тыс. рублей;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решением Арбитражного суда Липецкой области от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27.03.2026 года по делу № А36-6338/2025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с АО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«Ст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раховая компания «СОГАЗ-МЕД» в пользу ТФОМС Липецкой области подлежит взысканию штраф в размере 54,1 тыс. рублей;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775"/>
        <w:ind w:firstLine="70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решением  Арбитражного суда Липецкой области по делу № А36-6380/2025 с ООО «Капитал Медицинское страхование» в пользу ТФОМС Липецкой области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подлежит взысканию штраф в размере 205,4 тыс. рублей.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  <w14:ligatures w14:val="none"/>
        </w:rPr>
      </w:r>
    </w:p>
    <w:p>
      <w:pPr>
        <w:ind w:firstLine="539"/>
        <w:jc w:val="both"/>
        <w:spacing w:before="0" w:beforeAutospacing="0"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  <w:t xml:space="preserve">Просроченная кредиторская задо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  <w:t xml:space="preserve">лженность 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  <w:t xml:space="preserve">о результатам 6 месяцев 2026 года (на 01.07.2026г.)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  <w:t xml:space="preserve">составила 273,2 млн. рублей.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  <w:t xml:space="preserve">По состоянию на 01.01.2026 просроченная кредиторская задолженность государственных медицинских организаций перед поставщиками за поставленные материальные ценности и оказанные услуги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  <w:t xml:space="preserve">отсутствовала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pStyle w:val="773"/>
        <w:ind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январь-</w:t>
      </w:r>
      <w:r>
        <w:rPr>
          <w:sz w:val="28"/>
          <w:szCs w:val="28"/>
        </w:rPr>
        <w:t xml:space="preserve">июнь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ТФОМС и СМО было рассмотрено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42 249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</w:t>
      </w:r>
      <w:r>
        <w:rPr>
          <w:sz w:val="28"/>
          <w:szCs w:val="28"/>
        </w:rPr>
        <w:t xml:space="preserve">ний. В сравне</w:t>
      </w:r>
      <w:r>
        <w:rPr>
          <w:sz w:val="28"/>
          <w:szCs w:val="28"/>
        </w:rPr>
        <w:t xml:space="preserve">нии с аналогичным периодом 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года количество обращений </w:t>
      </w:r>
      <w:r>
        <w:rPr>
          <w:sz w:val="28"/>
          <w:szCs w:val="28"/>
        </w:rPr>
        <w:t xml:space="preserve">уменьшилось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485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Всего обращений за разъяснениями, в том числе заявлений,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42 082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наибольшее количество по 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просам выбора и/или замены СМО, включение в единый регистр застрахованных, обеспечение выдачи полисов, о переоформлении полиса ОМС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просов на предоставление выписки из ЕРЗЛ сведений о полисе ОМС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34 820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 от общего количества.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73"/>
        <w:ind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За период январь-</w:t>
      </w:r>
      <w:r>
        <w:rPr>
          <w:sz w:val="28"/>
          <w:szCs w:val="28"/>
        </w:rPr>
        <w:t xml:space="preserve">июнь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поступило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жалоб или 0,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% от обще</w:t>
      </w:r>
      <w:r>
        <w:rPr>
          <w:sz w:val="28"/>
          <w:szCs w:val="28"/>
        </w:rPr>
        <w:t xml:space="preserve">го числа обращений; в 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году данный показатель </w:t>
      </w:r>
      <w:r>
        <w:rPr>
          <w:sz w:val="28"/>
          <w:szCs w:val="28"/>
        </w:rPr>
        <w:t xml:space="preserve">139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0,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%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73"/>
        <w:ind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Все жалобы рассмотрены в досудебном порядке, </w:t>
      </w:r>
      <w:r>
        <w:rPr>
          <w:sz w:val="28"/>
          <w:szCs w:val="28"/>
        </w:rPr>
        <w:t xml:space="preserve">в установленные законом сроки, </w:t>
      </w:r>
      <w:r>
        <w:rPr>
          <w:sz w:val="28"/>
          <w:szCs w:val="28"/>
        </w:rPr>
        <w:t xml:space="preserve">обоснованными признано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(66</w:t>
      </w:r>
      <w:r>
        <w:rPr>
          <w:sz w:val="28"/>
          <w:szCs w:val="28"/>
        </w:rPr>
        <w:t xml:space="preserve">%), за </w:t>
      </w:r>
      <w:r>
        <w:rPr>
          <w:sz w:val="28"/>
          <w:szCs w:val="28"/>
        </w:rPr>
        <w:t xml:space="preserve">аналогичный период </w:t>
      </w: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года - </w:t>
      </w:r>
      <w:r>
        <w:rPr>
          <w:sz w:val="28"/>
          <w:szCs w:val="28"/>
        </w:rPr>
        <w:t xml:space="preserve">109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жалоб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%) бы</w:t>
      </w:r>
      <w:r>
        <w:rPr>
          <w:sz w:val="28"/>
          <w:szCs w:val="28"/>
        </w:rPr>
        <w:t xml:space="preserve">ли</w:t>
      </w:r>
      <w:r>
        <w:rPr>
          <w:sz w:val="28"/>
          <w:szCs w:val="28"/>
        </w:rPr>
        <w:t xml:space="preserve"> призна</w:t>
      </w:r>
      <w:r>
        <w:rPr>
          <w:sz w:val="28"/>
          <w:szCs w:val="28"/>
        </w:rPr>
        <w:t xml:space="preserve">ны</w:t>
      </w:r>
      <w:r>
        <w:rPr>
          <w:sz w:val="28"/>
          <w:szCs w:val="28"/>
        </w:rPr>
        <w:t xml:space="preserve"> обоснованными.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73"/>
        <w:ind w:firstLine="700"/>
        <w:spacing w:before="0" w:line="240" w:lineRule="auto"/>
        <w:shd w:val="clear" w:color="auto" w:fill="auto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Структура обоснованных жалоб по причинам сложилась следующим </w:t>
      </w:r>
      <w:r>
        <w:rPr>
          <w:sz w:val="28"/>
          <w:szCs w:val="28"/>
        </w:rPr>
        <w:t xml:space="preserve">обра</w:t>
      </w:r>
      <w:r>
        <w:rPr>
          <w:sz w:val="28"/>
          <w:szCs w:val="28"/>
        </w:rPr>
        <w:t xml:space="preserve">зом: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773"/>
        <w:ind w:firstLine="700"/>
        <w:spacing w:before="0" w:line="240" w:lineRule="auto"/>
        <w:shd w:val="clear" w:color="auto" w:fill="auto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- 32</w:t>
      </w:r>
      <w:r>
        <w:rPr>
          <w:sz w:val="28"/>
          <w:szCs w:val="28"/>
        </w:rPr>
        <w:t xml:space="preserve"> жалобы (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%) на </w:t>
      </w:r>
      <w:r>
        <w:rPr>
          <w:sz w:val="28"/>
          <w:szCs w:val="28"/>
        </w:rPr>
        <w:t xml:space="preserve">качество</w:t>
      </w:r>
      <w:r>
        <w:rPr>
          <w:sz w:val="28"/>
          <w:szCs w:val="28"/>
        </w:rPr>
        <w:t xml:space="preserve"> медицинской помощи;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773"/>
        <w:ind w:firstLine="700"/>
        <w:spacing w:before="0" w:line="240" w:lineRule="auto"/>
        <w:shd w:val="clear" w:color="auto" w:fill="auto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- 11</w:t>
      </w:r>
      <w:r>
        <w:rPr>
          <w:sz w:val="28"/>
          <w:szCs w:val="28"/>
        </w:rPr>
        <w:t xml:space="preserve"> жалоб (1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%) на организацию работы медицинской организации;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773"/>
        <w:ind w:firstLine="700"/>
        <w:spacing w:before="0" w:line="240" w:lineRule="auto"/>
        <w:shd w:val="clear" w:color="auto" w:fill="auto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- 5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жалобы (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%) на </w:t>
      </w:r>
      <w:r>
        <w:rPr>
          <w:sz w:val="28"/>
          <w:szCs w:val="28"/>
        </w:rPr>
        <w:t xml:space="preserve">недостоверные сведения об оказанных</w:t>
      </w:r>
      <w:r>
        <w:rPr>
          <w:sz w:val="28"/>
          <w:szCs w:val="28"/>
        </w:rPr>
        <w:t xml:space="preserve"> медицинских услугах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773"/>
        <w:ind w:firstLine="700"/>
        <w:spacing w:before="0" w:line="240" w:lineRule="auto"/>
        <w:shd w:val="clear" w:color="auto" w:fill="auto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- 2</w:t>
      </w:r>
      <w:r>
        <w:rPr>
          <w:sz w:val="28"/>
          <w:szCs w:val="28"/>
        </w:rPr>
        <w:t xml:space="preserve"> жалобы (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%) на </w:t>
      </w:r>
      <w:r>
        <w:rPr>
          <w:sz w:val="28"/>
          <w:szCs w:val="28"/>
        </w:rPr>
        <w:t xml:space="preserve">отказ в оказании медицинской помощи;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773"/>
        <w:ind w:firstLine="700"/>
        <w:spacing w:before="0" w:line="240" w:lineRule="auto"/>
        <w:shd w:val="clear" w:color="auto" w:fill="auto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- 4</w:t>
      </w:r>
      <w:r>
        <w:rPr>
          <w:sz w:val="28"/>
          <w:szCs w:val="28"/>
        </w:rPr>
        <w:t xml:space="preserve"> жалобы (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%) другие причины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773"/>
        <w:ind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За отчетный период в СМО поступило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благодарностей от застрахованных лиц.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73"/>
        <w:ind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 рамках контроля объемов, сроков, качества и условий оказания медицин</w:t>
      </w:r>
      <w:r>
        <w:rPr>
          <w:sz w:val="28"/>
          <w:szCs w:val="28"/>
        </w:rPr>
        <w:t xml:space="preserve">ской помощи, оказанной медицинскими организациями Липецкой области, спе</w:t>
      </w:r>
      <w:r>
        <w:rPr>
          <w:sz w:val="28"/>
          <w:szCs w:val="28"/>
        </w:rPr>
        <w:t xml:space="preserve">циалистами СМО в отчетном периоде проводи</w:t>
      </w:r>
      <w:r>
        <w:rPr>
          <w:sz w:val="28"/>
          <w:szCs w:val="28"/>
        </w:rPr>
        <w:t xml:space="preserve">лись экспертные мероприятия в соо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ветствии с действующими нормативными ак</w:t>
      </w:r>
      <w:r>
        <w:rPr>
          <w:sz w:val="28"/>
          <w:szCs w:val="28"/>
        </w:rPr>
        <w:t xml:space="preserve">тами.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73"/>
        <w:ind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За период январь-</w:t>
      </w:r>
      <w:r>
        <w:rPr>
          <w:sz w:val="28"/>
          <w:szCs w:val="28"/>
        </w:rPr>
        <w:t xml:space="preserve">июнь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 подвергнуто экспертизам </w:t>
      </w:r>
      <w:r>
        <w:rPr>
          <w:sz w:val="28"/>
          <w:szCs w:val="28"/>
        </w:rPr>
        <w:t xml:space="preserve">65,8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 страх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вых случаев медицинской помощи, оказанных гражданам, застрахованным на те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ритории Липецкой области, в том числе в ходе плановых проверок </w:t>
      </w:r>
      <w:r>
        <w:rPr>
          <w:sz w:val="28"/>
          <w:szCs w:val="28"/>
        </w:rPr>
        <w:t xml:space="preserve">22,8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 </w:t>
      </w:r>
      <w:r>
        <w:rPr>
          <w:sz w:val="28"/>
          <w:szCs w:val="28"/>
        </w:rPr>
        <w:t xml:space="preserve">страх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вых случаев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73"/>
        <w:ind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При проведении медико-экономических экспертиз (МЭЭ) за </w:t>
      </w:r>
      <w:r>
        <w:rPr>
          <w:sz w:val="28"/>
          <w:szCs w:val="28"/>
        </w:rPr>
        <w:t xml:space="preserve">январь-</w:t>
      </w:r>
      <w:r>
        <w:rPr>
          <w:sz w:val="28"/>
          <w:szCs w:val="28"/>
        </w:rPr>
        <w:t xml:space="preserve">июнь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бы</w:t>
      </w:r>
      <w:r>
        <w:rPr>
          <w:sz w:val="28"/>
          <w:szCs w:val="28"/>
        </w:rPr>
        <w:t xml:space="preserve">ло проанализировано </w:t>
      </w:r>
      <w:r>
        <w:rPr>
          <w:sz w:val="28"/>
          <w:szCs w:val="28"/>
        </w:rPr>
        <w:t xml:space="preserve">51,7</w:t>
      </w:r>
      <w:r>
        <w:rPr>
          <w:sz w:val="28"/>
          <w:szCs w:val="28"/>
        </w:rPr>
        <w:t xml:space="preserve"> тыс. случаев оказания медицинской помощи, в том числе при целевых проверках </w:t>
      </w:r>
      <w:r>
        <w:rPr>
          <w:sz w:val="28"/>
          <w:szCs w:val="28"/>
        </w:rPr>
        <w:t xml:space="preserve">32,8</w:t>
      </w:r>
      <w:r>
        <w:rPr>
          <w:sz w:val="28"/>
          <w:szCs w:val="28"/>
        </w:rPr>
        <w:t xml:space="preserve"> тыс. случаев.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73"/>
        <w:ind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 результате МЭЭ был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установлен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13923 </w:t>
      </w:r>
      <w:r>
        <w:rPr>
          <w:sz w:val="28"/>
          <w:szCs w:val="28"/>
        </w:rPr>
        <w:t xml:space="preserve">нарушени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%)</w:t>
      </w:r>
      <w:r>
        <w:rPr>
          <w:sz w:val="28"/>
          <w:szCs w:val="28"/>
        </w:rPr>
        <w:t xml:space="preserve"> (финансовые санкции составили </w:t>
      </w:r>
      <w:r>
        <w:rPr>
          <w:sz w:val="28"/>
          <w:szCs w:val="28"/>
        </w:rPr>
        <w:t xml:space="preserve">57,5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млн</w:t>
      </w:r>
      <w:r>
        <w:rPr>
          <w:sz w:val="28"/>
          <w:szCs w:val="28"/>
        </w:rPr>
        <w:t xml:space="preserve">. р</w:t>
      </w:r>
      <w:r>
        <w:rPr>
          <w:sz w:val="28"/>
          <w:szCs w:val="28"/>
        </w:rPr>
        <w:t xml:space="preserve">ублей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отмечается </w:t>
      </w:r>
      <w:r>
        <w:rPr>
          <w:sz w:val="28"/>
          <w:szCs w:val="28"/>
        </w:rPr>
        <w:t xml:space="preserve">уменьшение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дефектов </w:t>
      </w:r>
      <w:r>
        <w:rPr>
          <w:sz w:val="28"/>
          <w:szCs w:val="28"/>
        </w:rPr>
        <w:t xml:space="preserve">в сравнении с анало</w:t>
      </w:r>
      <w:r>
        <w:rPr>
          <w:sz w:val="28"/>
          <w:szCs w:val="28"/>
        </w:rPr>
        <w:t xml:space="preserve">гичным периодом 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года,</w:t>
      </w:r>
      <w:r>
        <w:rPr>
          <w:sz w:val="28"/>
          <w:szCs w:val="28"/>
        </w:rPr>
        <w:t xml:space="preserve"> когда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данный по</w:t>
      </w:r>
      <w:r>
        <w:rPr>
          <w:sz w:val="28"/>
          <w:szCs w:val="28"/>
        </w:rPr>
        <w:t xml:space="preserve">казатель состав</w:t>
      </w:r>
      <w:r>
        <w:rPr>
          <w:sz w:val="28"/>
          <w:szCs w:val="28"/>
        </w:rPr>
        <w:t xml:space="preserve">лял </w:t>
      </w:r>
      <w:r>
        <w:rPr>
          <w:sz w:val="28"/>
          <w:szCs w:val="28"/>
        </w:rPr>
        <w:t xml:space="preserve">29</w:t>
      </w:r>
      <w:r>
        <w:rPr>
          <w:sz w:val="28"/>
          <w:szCs w:val="28"/>
        </w:rPr>
        <w:t xml:space="preserve">%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73"/>
        <w:ind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Количество нарушений по причине «непредставление первичной медицинской документации, подтверждающей факт оказания ЗЛ медицинской помощи</w:t>
      </w:r>
      <w:r>
        <w:rPr>
          <w:sz w:val="28"/>
          <w:szCs w:val="28"/>
        </w:rPr>
        <w:t xml:space="preserve">»,</w:t>
      </w:r>
      <w:r>
        <w:rPr>
          <w:sz w:val="28"/>
          <w:szCs w:val="28"/>
        </w:rPr>
        <w:t xml:space="preserve"> состав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ло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6550 </w:t>
      </w:r>
      <w:r>
        <w:rPr>
          <w:sz w:val="28"/>
          <w:szCs w:val="28"/>
        </w:rPr>
        <w:t xml:space="preserve">или 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% от </w:t>
      </w:r>
      <w:r>
        <w:rPr>
          <w:sz w:val="28"/>
          <w:szCs w:val="28"/>
        </w:rPr>
        <w:t xml:space="preserve">общего количества нарушений</w:t>
      </w:r>
      <w:r>
        <w:rPr>
          <w:sz w:val="28"/>
          <w:szCs w:val="28"/>
        </w:rPr>
        <w:t xml:space="preserve"> (финансовые санкции – </w:t>
      </w:r>
      <w:r>
        <w:rPr>
          <w:sz w:val="28"/>
          <w:szCs w:val="28"/>
        </w:rPr>
        <w:t xml:space="preserve">15,0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млн. рублей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аналогичн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м период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года количество данных нарушений </w:t>
      </w:r>
      <w:r>
        <w:rPr>
          <w:sz w:val="28"/>
          <w:szCs w:val="28"/>
        </w:rPr>
        <w:t xml:space="preserve">соста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ляло 2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%.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73"/>
        <w:ind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Количество нарушений по причине «несоответствие данных первичной мед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цинской документации данным реестра счетов», составило – </w:t>
      </w:r>
      <w:r>
        <w:rPr>
          <w:sz w:val="28"/>
          <w:szCs w:val="28"/>
        </w:rPr>
        <w:t xml:space="preserve">6 525</w:t>
      </w:r>
      <w:r>
        <w:rPr>
          <w:sz w:val="28"/>
          <w:szCs w:val="28"/>
        </w:rPr>
        <w:t xml:space="preserve"> или </w:t>
      </w:r>
      <w:r>
        <w:rPr>
          <w:sz w:val="28"/>
          <w:szCs w:val="28"/>
        </w:rPr>
        <w:t xml:space="preserve">47</w:t>
      </w:r>
      <w:r>
        <w:rPr>
          <w:sz w:val="28"/>
          <w:szCs w:val="28"/>
        </w:rPr>
        <w:t xml:space="preserve">% </w:t>
      </w:r>
      <w:r>
        <w:rPr>
          <w:sz w:val="28"/>
          <w:szCs w:val="28"/>
        </w:rPr>
        <w:t xml:space="preserve">от о</w:t>
      </w:r>
      <w:r>
        <w:rPr>
          <w:sz w:val="28"/>
          <w:szCs w:val="28"/>
        </w:rPr>
        <w:t xml:space="preserve">б</w:t>
      </w:r>
      <w:r>
        <w:rPr>
          <w:sz w:val="28"/>
          <w:szCs w:val="28"/>
        </w:rPr>
        <w:t xml:space="preserve">щего количества нарушений</w:t>
      </w:r>
      <w:r>
        <w:rPr>
          <w:sz w:val="28"/>
          <w:szCs w:val="28"/>
        </w:rPr>
        <w:t xml:space="preserve"> (финансовые санкции – </w:t>
      </w:r>
      <w:r>
        <w:rPr>
          <w:sz w:val="28"/>
          <w:szCs w:val="28"/>
        </w:rPr>
        <w:t xml:space="preserve">36,5 </w:t>
      </w:r>
      <w:r>
        <w:rPr>
          <w:sz w:val="28"/>
          <w:szCs w:val="28"/>
        </w:rPr>
        <w:t xml:space="preserve">млн</w:t>
      </w:r>
      <w:r>
        <w:rPr>
          <w:sz w:val="28"/>
          <w:szCs w:val="28"/>
        </w:rPr>
        <w:t xml:space="preserve">. р</w:t>
      </w:r>
      <w:r>
        <w:rPr>
          <w:sz w:val="28"/>
          <w:szCs w:val="28"/>
        </w:rPr>
        <w:t xml:space="preserve">ублей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аналогичном периоде 2025 года количество данных нарушений составляло </w:t>
      </w:r>
      <w:r>
        <w:rPr>
          <w:sz w:val="28"/>
          <w:szCs w:val="28"/>
        </w:rPr>
        <w:t xml:space="preserve">49</w:t>
      </w:r>
      <w:r>
        <w:rPr>
          <w:sz w:val="28"/>
          <w:szCs w:val="28"/>
        </w:rPr>
        <w:t xml:space="preserve">%.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73"/>
        <w:ind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Количество нарушений по причине «наличие признаков искажения сведений в медицинской документации» составило </w:t>
      </w:r>
      <w:r>
        <w:rPr>
          <w:sz w:val="28"/>
          <w:szCs w:val="28"/>
        </w:rPr>
        <w:t xml:space="preserve">665</w:t>
      </w:r>
      <w:r>
        <w:rPr>
          <w:sz w:val="28"/>
          <w:szCs w:val="28"/>
        </w:rPr>
        <w:t xml:space="preserve"> или </w:t>
      </w:r>
      <w:r>
        <w:rPr>
          <w:sz w:val="28"/>
          <w:szCs w:val="28"/>
        </w:rPr>
        <w:t xml:space="preserve">4,8</w:t>
      </w:r>
      <w:r>
        <w:rPr>
          <w:sz w:val="28"/>
          <w:szCs w:val="28"/>
        </w:rPr>
        <w:t xml:space="preserve">%</w:t>
      </w:r>
      <w:r>
        <w:rPr>
          <w:sz w:val="28"/>
          <w:szCs w:val="28"/>
        </w:rPr>
        <w:t xml:space="preserve"> (финансовые санкции – </w:t>
      </w:r>
      <w:r>
        <w:rPr>
          <w:sz w:val="28"/>
          <w:szCs w:val="28"/>
        </w:rPr>
        <w:t xml:space="preserve">5,7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млн. рублей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аналогичном периоде 2025 года количество данных нарушений соста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ляло </w:t>
      </w:r>
      <w:r>
        <w:rPr>
          <w:sz w:val="28"/>
          <w:szCs w:val="28"/>
        </w:rPr>
        <w:t xml:space="preserve">4,2</w:t>
      </w:r>
      <w:r>
        <w:rPr>
          <w:sz w:val="28"/>
          <w:szCs w:val="28"/>
        </w:rPr>
        <w:t xml:space="preserve">%.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73"/>
        <w:ind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Количество нарушений по причине «</w:t>
      </w:r>
      <w:r>
        <w:rPr>
          <w:sz w:val="28"/>
          <w:szCs w:val="28"/>
        </w:rPr>
        <w:t xml:space="preserve">отсутствие в документации информир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ванного добровольного согласия застрахованного лица на медицинское вмешател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ство</w:t>
      </w:r>
      <w:r>
        <w:rPr>
          <w:sz w:val="28"/>
          <w:szCs w:val="28"/>
        </w:rPr>
        <w:t xml:space="preserve">»,  составило – </w:t>
      </w:r>
      <w:r>
        <w:rPr>
          <w:sz w:val="28"/>
          <w:szCs w:val="28"/>
        </w:rPr>
        <w:t xml:space="preserve">130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>
        <w:rPr>
          <w:sz w:val="28"/>
          <w:szCs w:val="28"/>
        </w:rPr>
        <w:t xml:space="preserve">0,9</w:t>
      </w:r>
      <w:r>
        <w:rPr>
          <w:sz w:val="28"/>
          <w:szCs w:val="28"/>
        </w:rPr>
        <w:t xml:space="preserve">%</w:t>
      </w:r>
      <w:r>
        <w:rPr>
          <w:sz w:val="28"/>
          <w:szCs w:val="28"/>
        </w:rPr>
        <w:t xml:space="preserve"> от общего количества нарушений</w:t>
      </w:r>
      <w:r>
        <w:rPr>
          <w:sz w:val="28"/>
          <w:szCs w:val="28"/>
        </w:rPr>
        <w:t xml:space="preserve"> (финансовые санкции – </w:t>
      </w:r>
      <w:r>
        <w:rPr>
          <w:sz w:val="28"/>
          <w:szCs w:val="28"/>
        </w:rPr>
        <w:t xml:space="preserve">159,5</w:t>
      </w:r>
      <w:r>
        <w:rPr>
          <w:sz w:val="28"/>
          <w:szCs w:val="28"/>
        </w:rPr>
        <w:t xml:space="preserve"> тыс</w:t>
      </w:r>
      <w:r>
        <w:rPr>
          <w:sz w:val="28"/>
          <w:szCs w:val="28"/>
        </w:rPr>
        <w:t xml:space="preserve">. рублей)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аналогичном периоде 2025 года количество данных нарушений составляло 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%.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73"/>
        <w:ind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 ходе экспертиз  качества медицинской помощи (ЭКМП) было проанализ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ровано </w:t>
      </w:r>
      <w:r>
        <w:rPr>
          <w:sz w:val="28"/>
          <w:szCs w:val="28"/>
        </w:rPr>
        <w:t xml:space="preserve">14,1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 </w:t>
      </w:r>
      <w:r>
        <w:rPr>
          <w:sz w:val="28"/>
          <w:szCs w:val="28"/>
        </w:rPr>
        <w:t xml:space="preserve">слу</w:t>
      </w:r>
      <w:r>
        <w:rPr>
          <w:sz w:val="28"/>
          <w:szCs w:val="28"/>
        </w:rPr>
        <w:t xml:space="preserve">чаев оказания медицинской помощи, в том числе при целевых проверках 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10,2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 случаев.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результате ЭКМП было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установлен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3 631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нарушения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финансовые санкции составили 26,4 </w:t>
      </w:r>
      <w:r>
        <w:rPr>
          <w:rFonts w:ascii="Times New Roman" w:hAnsi="Times New Roman" w:cs="Times New Roman"/>
          <w:sz w:val="28"/>
          <w:szCs w:val="28"/>
        </w:rPr>
        <w:t xml:space="preserve">млн. рублей</w:t>
      </w:r>
      <w:r>
        <w:rPr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аналогичн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период 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данный показ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тель составлял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Наибольшее количество нарушений – «невыполнение, несвоевременное или ненадлежащее выполнение необходимых пациенту диагностических и (или) лече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ных мероприятий, оперативных вмешательств в соответствии с порядками оказания медицинской помощи, на основе клинических рекомендаций и с учетом стандартов медицинской помощи» 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1 684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 от общего количества нарушений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(финанс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вые санкции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6,3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млн. рублей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в том числе при проведении диспансеризации опред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ленных групп взрослого населения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354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проведении ЭКМП установлены нарушения из раздела 2 Перечня основ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ний для отказа в оплате медицинской помощи (уменьшения в оплате медицинской помощи), количество их составило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914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 от общего количества нарушений,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(финансовые санкции составили 9,9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млн. рублей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том числе: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«несоответствие данных первичной медицинской документации данным 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естра счетов», составило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323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 от количества нарушений из раздела 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ф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нансовые санкции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6,4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млн. рублей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«отсутствие в документации информированного добровольного согласия 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страхованного лица на медицинское вмешательство», составило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 от 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личества нарушений из раздела 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финансовые санкции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244,1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 рублей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«непредставление первичной медицинской документации, подтверждающей факт оказания ЗЛ медицинской помощи», составило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280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 от общего кол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чества нарушений из раздела 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финансовые санкции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610,3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 рублей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73"/>
        <w:ind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 итогам МЭЭ и ЭКМП к медицинским организациям применены финан</w:t>
      </w:r>
      <w:r>
        <w:rPr>
          <w:sz w:val="28"/>
          <w:szCs w:val="28"/>
        </w:rPr>
        <w:t xml:space="preserve">совые санкции в размере </w:t>
      </w:r>
      <w:r>
        <w:rPr>
          <w:sz w:val="28"/>
          <w:szCs w:val="28"/>
        </w:rPr>
        <w:t xml:space="preserve">84,0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млн. </w:t>
      </w:r>
      <w:r>
        <w:rPr>
          <w:sz w:val="28"/>
          <w:szCs w:val="28"/>
        </w:rPr>
        <w:t xml:space="preserve">рублей (202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67,7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млн. рублей).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0"/>
        <w:jc w:val="both"/>
        <w:spacing w:after="0" w:line="283" w:lineRule="atLeast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В I полугодии 2026 года проведено 2 243 контрольно-экспертных мероприятия по случаям оказания медицинской помощи пациентам с подозрением на злокачественные новообразования (ЗНО) и/или с подтвержденным диагнозом ЗНО, в том числе 2 078 медико-экономических э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кспертиз, 165 экспертиз качества медицинской помощи. По результатам контрольно-экспертных мероприятий выявлено 148 дефектов.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7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 период январь-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июнь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года специалистами ТФОМС Липецкой об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ласти и экспертами качества медицинской помощи, входящими в реестр экспер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тов качества медицинской помощи, привлекаемыми на договорной основе, прово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дились повто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ные медико-экономические экспертизы и экспертизы качества медицинской пом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щи.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570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Количество страховых случаев, подвергшихся повторной МЭЭ, составило </w:t>
      </w:r>
      <w:r>
        <w:rPr>
          <w:rFonts w:ascii="Times New Roman" w:hAnsi="Times New Roman" w:eastAsia="Calibri" w:cs="Times New Roman"/>
          <w:sz w:val="28"/>
          <w:szCs w:val="28"/>
        </w:rPr>
        <w:t xml:space="preserve">1 022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количество страховых случаев, подвергшихся повторной ЭКМП, составило </w:t>
      </w:r>
      <w:r>
        <w:rPr>
          <w:rFonts w:ascii="Times New Roman" w:hAnsi="Times New Roman" w:eastAsia="Calibri" w:cs="Times New Roman"/>
          <w:sz w:val="28"/>
          <w:szCs w:val="28"/>
        </w:rPr>
        <w:t xml:space="preserve">383</w:t>
      </w:r>
      <w:r>
        <w:rPr>
          <w:rFonts w:ascii="Times New Roman" w:hAnsi="Times New Roman" w:eastAsia="Calibri" w:cs="Times New Roman"/>
          <w:sz w:val="28"/>
          <w:szCs w:val="28"/>
        </w:rPr>
        <w:t xml:space="preserve">, что соответствует требованиям приказа ФФОМС от </w:t>
      </w:r>
      <w:r>
        <w:rPr>
          <w:rFonts w:ascii="Times New Roman" w:hAnsi="Times New Roman" w:eastAsia="Calibri" w:cs="Times New Roman"/>
          <w:sz w:val="28"/>
          <w:szCs w:val="28"/>
        </w:rPr>
        <w:t xml:space="preserve">19</w:t>
      </w:r>
      <w:r>
        <w:rPr>
          <w:rFonts w:ascii="Times New Roman" w:hAnsi="Times New Roman" w:eastAsia="Calibri" w:cs="Times New Roman"/>
          <w:sz w:val="28"/>
          <w:szCs w:val="28"/>
        </w:rPr>
        <w:t xml:space="preserve">.0</w:t>
      </w:r>
      <w:r>
        <w:rPr>
          <w:rFonts w:ascii="Times New Roman" w:hAnsi="Times New Roman" w:eastAsia="Calibri" w:cs="Times New Roman"/>
          <w:sz w:val="28"/>
          <w:szCs w:val="28"/>
        </w:rPr>
        <w:t xml:space="preserve">3</w:t>
      </w:r>
      <w:r>
        <w:rPr>
          <w:rFonts w:ascii="Times New Roman" w:hAnsi="Times New Roman" w:eastAsia="Calibri" w:cs="Times New Roman"/>
          <w:sz w:val="28"/>
          <w:szCs w:val="28"/>
        </w:rPr>
        <w:t xml:space="preserve">.20</w:t>
      </w:r>
      <w:r>
        <w:rPr>
          <w:rFonts w:ascii="Times New Roman" w:hAnsi="Times New Roman" w:eastAsia="Calibri" w:cs="Times New Roman"/>
          <w:sz w:val="28"/>
          <w:szCs w:val="28"/>
        </w:rPr>
        <w:t xml:space="preserve">21</w:t>
      </w:r>
      <w:r>
        <w:rPr>
          <w:rFonts w:ascii="Times New Roman" w:hAnsi="Times New Roman" w:eastAsia="Calibri" w:cs="Times New Roman"/>
          <w:sz w:val="28"/>
          <w:szCs w:val="28"/>
        </w:rPr>
        <w:t xml:space="preserve"> № </w:t>
      </w:r>
      <w:r>
        <w:rPr>
          <w:rFonts w:ascii="Times New Roman" w:hAnsi="Times New Roman" w:eastAsia="Calibri" w:cs="Times New Roman"/>
          <w:sz w:val="28"/>
          <w:szCs w:val="28"/>
        </w:rPr>
        <w:t xml:space="preserve">231н</w:t>
      </w:r>
      <w:r>
        <w:rPr>
          <w:rFonts w:ascii="Times New Roman" w:hAnsi="Times New Roman" w:eastAsia="Calibri" w:cs="Times New Roman"/>
          <w:sz w:val="28"/>
          <w:szCs w:val="28"/>
        </w:rPr>
        <w:t xml:space="preserve"> «Об утверждении Порядка проведения контроля объемов, сроков, ка</w:t>
      </w:r>
      <w:r>
        <w:rPr>
          <w:rFonts w:ascii="Times New Roman" w:hAnsi="Times New Roman" w:eastAsia="Calibri" w:cs="Times New Roman"/>
          <w:sz w:val="28"/>
          <w:szCs w:val="28"/>
        </w:rPr>
        <w:t xml:space="preserve">чества и условий предоставления медицинской помощи по </w:t>
      </w:r>
      <w:r>
        <w:rPr>
          <w:rFonts w:ascii="Times New Roman" w:hAnsi="Times New Roman" w:eastAsia="Calibri" w:cs="Times New Roman"/>
          <w:sz w:val="28"/>
          <w:szCs w:val="28"/>
        </w:rPr>
        <w:t xml:space="preserve">обязательному медицинскому страхов</w:t>
      </w:r>
      <w:r>
        <w:rPr>
          <w:rFonts w:ascii="Times New Roman" w:hAnsi="Times New Roman" w:eastAsia="Calibri" w:cs="Times New Roman"/>
          <w:sz w:val="28"/>
          <w:szCs w:val="28"/>
        </w:rPr>
        <w:t xml:space="preserve">а</w:t>
      </w:r>
      <w:r>
        <w:rPr>
          <w:rFonts w:ascii="Times New Roman" w:hAnsi="Times New Roman" w:eastAsia="Calibri" w:cs="Times New Roman"/>
          <w:sz w:val="28"/>
          <w:szCs w:val="28"/>
        </w:rPr>
        <w:t xml:space="preserve">нию, а также ее финансового обеспечения</w:t>
      </w:r>
      <w:r>
        <w:rPr>
          <w:rFonts w:ascii="Times New Roman" w:hAnsi="Times New Roman" w:eastAsia="Calibri" w:cs="Times New Roman"/>
          <w:sz w:val="28"/>
          <w:szCs w:val="28"/>
        </w:rPr>
        <w:t xml:space="preserve">».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360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Установлены нарушения в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18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случаях (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1,3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%), допущенны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медицинскими о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ганизациями, но не выявленны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СМО при первичном проведении экспертиз. По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итогам повторных экспертиз к СМО применены штрафные санкций в размере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1 884,41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рубля - 10% от суммы, необоснованно оплаченной медицинским организ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циям.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Calibri" w:hAnsi="Calibri" w:eastAsia="Calibri" w:cs="Times New Roman"/>
          <w:highlight w:val="yellow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 августа 2022 года страховыми медицинскими организациями в соответствии с требованиями приказа Минздрава России от 19.07.2022 № 495 «Об утверждении методики расчета дополнительного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оказателя «Оценка общественного мнения по удовлетворенности населения медицинской помощью, %» федерального проекта «Модернизация первичного звена Российской Федерации» ежемесячно проводится опрос населения по удовлетворенности населения медицинской помощью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Процент удовлетворенности за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квартал 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составил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2,2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Calibri" w:hAnsi="Calibri" w:eastAsia="Calibri" w:cs="Times New Roman"/>
          <w:highlight w:val="yellow"/>
        </w:rPr>
      </w:r>
      <w:r>
        <w:rPr>
          <w:rFonts w:ascii="Calibri" w:hAnsi="Calibri" w:eastAsia="Calibri" w:cs="Times New Roman"/>
          <w:highlight w:val="yellow"/>
        </w:rPr>
      </w:r>
    </w:p>
    <w:p>
      <w:pPr>
        <w:ind w:firstLine="570"/>
        <w:jc w:val="both"/>
        <w:spacing w:after="0" w:line="283" w:lineRule="atLeast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709" w:right="850" w:bottom="709" w:left="1418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DejaVu Sans">
    <w:panose1 w:val="020B0603030804020204"/>
  </w:font>
  <w:font w:name="Courier New">
    <w:panose1 w:val="02070409020205020404"/>
  </w:font>
  <w:font w:name="Lohit Devanagari">
    <w:panose1 w:val="02000603000000000000"/>
  </w:font>
  <w:font w:name="Droid Sans">
    <w:panose1 w:val="020B0606030804020204"/>
  </w:font>
  <w:font w:name="Open Sans">
    <w:panose1 w:val="020B0606030504020204"/>
  </w:font>
  <w:font w:name="Tahoma">
    <w:panose1 w:val="020B0606040504020204"/>
  </w:font>
  <w:font w:name="Times New Roman">
    <w:panose1 w:val="02020603050405020304"/>
  </w:font>
  <w:font w:name="Liberation San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3" w:default="1">
    <w:name w:val="Normal"/>
    <w:qFormat/>
    <w:pPr>
      <w:spacing w:after="200" w:line="276" w:lineRule="auto"/>
    </w:pPr>
  </w:style>
  <w:style w:type="paragraph" w:styleId="664">
    <w:name w:val="Heading 1"/>
    <w:basedOn w:val="663"/>
    <w:next w:val="663"/>
    <w:link w:val="712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65">
    <w:name w:val="Heading 2"/>
    <w:basedOn w:val="663"/>
    <w:next w:val="663"/>
    <w:uiPriority w:val="9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66">
    <w:name w:val="Heading 3"/>
    <w:basedOn w:val="663"/>
    <w:next w:val="663"/>
    <w:link w:val="71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67">
    <w:name w:val="Heading 4"/>
    <w:basedOn w:val="663"/>
    <w:next w:val="663"/>
    <w:link w:val="715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663"/>
    <w:next w:val="663"/>
    <w:link w:val="71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9">
    <w:name w:val="Heading 6"/>
    <w:basedOn w:val="663"/>
    <w:next w:val="663"/>
    <w:link w:val="71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70">
    <w:name w:val="Heading 7"/>
    <w:basedOn w:val="663"/>
    <w:next w:val="663"/>
    <w:link w:val="71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71">
    <w:name w:val="Heading 8"/>
    <w:basedOn w:val="663"/>
    <w:next w:val="663"/>
    <w:link w:val="71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72">
    <w:name w:val="Heading 9"/>
    <w:basedOn w:val="663"/>
    <w:next w:val="663"/>
    <w:link w:val="72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 w:default="1">
    <w:name w:val="Default Paragraph Font"/>
    <w:uiPriority w:val="1"/>
    <w:semiHidden/>
    <w:unhideWhenUsed/>
  </w:style>
  <w:style w:type="table" w:styleId="67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5" w:default="1">
    <w:name w:val="No List"/>
    <w:uiPriority w:val="99"/>
    <w:semiHidden/>
    <w:unhideWhenUsed/>
  </w:style>
  <w:style w:type="table" w:styleId="676">
    <w:name w:val="Plain Table 1"/>
    <w:basedOn w:val="67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77">
    <w:name w:val="Plain Table 2"/>
    <w:basedOn w:val="67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78">
    <w:name w:val="Plain Table 3"/>
    <w:basedOn w:val="674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9">
    <w:name w:val="Plain Table 4"/>
    <w:basedOn w:val="674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Plain Table 5"/>
    <w:basedOn w:val="674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1">
    <w:name w:val="Grid Table 1 Light"/>
    <w:basedOn w:val="67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3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4"/>
    <w:basedOn w:val="67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85">
    <w:name w:val="Grid Table 5 Dark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686">
    <w:name w:val="Grid Table 6 Colorful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687">
    <w:name w:val="Grid Table 7 Colorful"/>
    <w:basedOn w:val="67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688">
    <w:name w:val="List Table 1 Light"/>
    <w:basedOn w:val="674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List Table 2"/>
    <w:basedOn w:val="67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690">
    <w:name w:val="List Table 3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List Table 4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List Table 5 Dark"/>
    <w:basedOn w:val="67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693">
    <w:name w:val="List Table 6 Colorful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694">
    <w:name w:val="List Table 7 Colorful"/>
    <w:basedOn w:val="67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character" w:styleId="695" w:customStyle="1">
    <w:name w:val="Caption Char"/>
    <w:basedOn w:val="673"/>
    <w:uiPriority w:val="35"/>
    <w:qFormat/>
    <w:rPr>
      <w:b/>
      <w:bCs/>
      <w:color w:val="4f81bd" w:themeColor="accent1"/>
      <w:sz w:val="18"/>
      <w:szCs w:val="18"/>
    </w:rPr>
  </w:style>
  <w:style w:type="character" w:styleId="696" w:customStyle="1">
    <w:name w:val="Heading 1 Char"/>
    <w:basedOn w:val="673"/>
    <w:uiPriority w:val="9"/>
    <w:qFormat/>
    <w:rPr>
      <w:rFonts w:ascii="Arial" w:hAnsi="Arial" w:eastAsia="Arial" w:cs="Arial"/>
      <w:sz w:val="40"/>
      <w:szCs w:val="40"/>
    </w:rPr>
  </w:style>
  <w:style w:type="character" w:styleId="697" w:customStyle="1">
    <w:name w:val="Heading 3 Char"/>
    <w:basedOn w:val="673"/>
    <w:uiPriority w:val="9"/>
    <w:qFormat/>
    <w:rPr>
      <w:rFonts w:ascii="Arial" w:hAnsi="Arial" w:eastAsia="Arial" w:cs="Arial"/>
      <w:sz w:val="30"/>
      <w:szCs w:val="30"/>
    </w:rPr>
  </w:style>
  <w:style w:type="character" w:styleId="698" w:customStyle="1">
    <w:name w:val="Heading 4 Char"/>
    <w:basedOn w:val="673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99" w:customStyle="1">
    <w:name w:val="Heading 5 Char"/>
    <w:basedOn w:val="673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00" w:customStyle="1">
    <w:name w:val="Heading 6 Char"/>
    <w:basedOn w:val="673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01" w:customStyle="1">
    <w:name w:val="Heading 7 Char"/>
    <w:basedOn w:val="673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02" w:customStyle="1">
    <w:name w:val="Heading 8 Char"/>
    <w:basedOn w:val="673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03" w:customStyle="1">
    <w:name w:val="Heading 9 Char"/>
    <w:basedOn w:val="673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04" w:customStyle="1">
    <w:name w:val="Title Char"/>
    <w:basedOn w:val="673"/>
    <w:uiPriority w:val="10"/>
    <w:qFormat/>
    <w:rPr>
      <w:sz w:val="48"/>
      <w:szCs w:val="48"/>
    </w:rPr>
  </w:style>
  <w:style w:type="character" w:styleId="705" w:customStyle="1">
    <w:name w:val="Subtitle Char"/>
    <w:basedOn w:val="673"/>
    <w:uiPriority w:val="11"/>
    <w:qFormat/>
    <w:rPr>
      <w:sz w:val="24"/>
      <w:szCs w:val="24"/>
    </w:rPr>
  </w:style>
  <w:style w:type="character" w:styleId="706" w:customStyle="1">
    <w:name w:val="Quote Char"/>
    <w:uiPriority w:val="29"/>
    <w:qFormat/>
    <w:rPr>
      <w:i/>
    </w:rPr>
  </w:style>
  <w:style w:type="character" w:styleId="707" w:customStyle="1">
    <w:name w:val="Intense Quote Char"/>
    <w:uiPriority w:val="30"/>
    <w:qFormat/>
    <w:rPr>
      <w:i/>
    </w:rPr>
  </w:style>
  <w:style w:type="character" w:styleId="708" w:customStyle="1">
    <w:name w:val="Header Char"/>
    <w:basedOn w:val="673"/>
    <w:uiPriority w:val="99"/>
    <w:qFormat/>
  </w:style>
  <w:style w:type="character" w:styleId="709" w:customStyle="1">
    <w:name w:val="Название объекта Знак"/>
    <w:link w:val="743"/>
    <w:uiPriority w:val="99"/>
    <w:qFormat/>
  </w:style>
  <w:style w:type="character" w:styleId="710" w:customStyle="1">
    <w:name w:val="Footnote Text Char"/>
    <w:uiPriority w:val="99"/>
    <w:qFormat/>
    <w:rPr>
      <w:sz w:val="18"/>
    </w:rPr>
  </w:style>
  <w:style w:type="character" w:styleId="711" w:customStyle="1">
    <w:name w:val="Endnote Text Char"/>
    <w:uiPriority w:val="99"/>
    <w:qFormat/>
    <w:rPr>
      <w:sz w:val="20"/>
    </w:rPr>
  </w:style>
  <w:style w:type="character" w:styleId="712" w:customStyle="1">
    <w:name w:val="Заголовок 1 Знак"/>
    <w:basedOn w:val="673"/>
    <w:link w:val="664"/>
    <w:uiPriority w:val="9"/>
    <w:qFormat/>
    <w:rPr>
      <w:rFonts w:ascii="Arial" w:hAnsi="Arial" w:eastAsia="Arial" w:cs="Arial"/>
      <w:sz w:val="40"/>
      <w:szCs w:val="40"/>
    </w:rPr>
  </w:style>
  <w:style w:type="character" w:styleId="713" w:customStyle="1">
    <w:name w:val="Heading 2 Char"/>
    <w:basedOn w:val="673"/>
    <w:uiPriority w:val="9"/>
    <w:qFormat/>
    <w:rPr>
      <w:rFonts w:ascii="Arial" w:hAnsi="Arial" w:eastAsia="Arial" w:cs="Arial"/>
      <w:sz w:val="34"/>
    </w:rPr>
  </w:style>
  <w:style w:type="character" w:styleId="714" w:customStyle="1">
    <w:name w:val="Заголовок 3 Знак"/>
    <w:basedOn w:val="673"/>
    <w:link w:val="666"/>
    <w:uiPriority w:val="9"/>
    <w:qFormat/>
    <w:rPr>
      <w:rFonts w:ascii="Arial" w:hAnsi="Arial" w:eastAsia="Arial" w:cs="Arial"/>
      <w:sz w:val="30"/>
      <w:szCs w:val="30"/>
    </w:rPr>
  </w:style>
  <w:style w:type="character" w:styleId="715" w:customStyle="1">
    <w:name w:val="Заголовок 4 Знак"/>
    <w:basedOn w:val="673"/>
    <w:link w:val="667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16" w:customStyle="1">
    <w:name w:val="Заголовок 5 Знак"/>
    <w:basedOn w:val="673"/>
    <w:link w:val="668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17" w:customStyle="1">
    <w:name w:val="Заголовок 6 Знак"/>
    <w:basedOn w:val="673"/>
    <w:link w:val="669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8" w:customStyle="1">
    <w:name w:val="Заголовок 7 Знак"/>
    <w:basedOn w:val="673"/>
    <w:link w:val="670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19" w:customStyle="1">
    <w:name w:val="Заголовок 8 Знак"/>
    <w:basedOn w:val="673"/>
    <w:link w:val="671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20" w:customStyle="1">
    <w:name w:val="Заголовок 9 Знак"/>
    <w:basedOn w:val="673"/>
    <w:link w:val="672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21" w:customStyle="1">
    <w:name w:val="Название Знак"/>
    <w:basedOn w:val="673"/>
    <w:link w:val="748"/>
    <w:uiPriority w:val="10"/>
    <w:qFormat/>
    <w:rPr>
      <w:sz w:val="48"/>
      <w:szCs w:val="48"/>
    </w:rPr>
  </w:style>
  <w:style w:type="character" w:styleId="722" w:customStyle="1">
    <w:name w:val="Подзаголовок Знак"/>
    <w:basedOn w:val="673"/>
    <w:link w:val="749"/>
    <w:uiPriority w:val="11"/>
    <w:qFormat/>
    <w:rPr>
      <w:sz w:val="24"/>
      <w:szCs w:val="24"/>
    </w:rPr>
  </w:style>
  <w:style w:type="character" w:styleId="723" w:customStyle="1">
    <w:name w:val="Цитата 2 Знак"/>
    <w:link w:val="750"/>
    <w:uiPriority w:val="29"/>
    <w:qFormat/>
    <w:rPr>
      <w:i/>
    </w:rPr>
  </w:style>
  <w:style w:type="character" w:styleId="724" w:customStyle="1">
    <w:name w:val="Выделенная цитата Знак"/>
    <w:link w:val="751"/>
    <w:uiPriority w:val="30"/>
    <w:qFormat/>
    <w:rPr>
      <w:i/>
    </w:rPr>
  </w:style>
  <w:style w:type="character" w:styleId="725" w:customStyle="1">
    <w:name w:val="Верхний колонтитул Знак"/>
    <w:basedOn w:val="673"/>
    <w:link w:val="755"/>
    <w:uiPriority w:val="99"/>
    <w:qFormat/>
  </w:style>
  <w:style w:type="character" w:styleId="726" w:customStyle="1">
    <w:name w:val="Footer Char"/>
    <w:basedOn w:val="673"/>
    <w:uiPriority w:val="99"/>
    <w:qFormat/>
  </w:style>
  <w:style w:type="character" w:styleId="727" w:customStyle="1">
    <w:name w:val="Нижний колонтитул Знак"/>
    <w:link w:val="756"/>
    <w:uiPriority w:val="99"/>
    <w:qFormat/>
  </w:style>
  <w:style w:type="character" w:styleId="728" w:customStyle="1">
    <w:name w:val="Текст сноски Знак"/>
    <w:link w:val="758"/>
    <w:uiPriority w:val="99"/>
    <w:qFormat/>
    <w:rPr>
      <w:sz w:val="18"/>
    </w:rPr>
  </w:style>
  <w:style w:type="character" w:styleId="729" w:customStyle="1">
    <w:name w:val="Символ сноски"/>
    <w:uiPriority w:val="99"/>
    <w:unhideWhenUsed/>
    <w:qFormat/>
    <w:rPr>
      <w:vertAlign w:val="superscript"/>
    </w:rPr>
  </w:style>
  <w:style w:type="character" w:styleId="730" w:customStyle="1">
    <w:name w:val="Символ сноски (user)"/>
    <w:qFormat/>
    <w:rPr>
      <w:vertAlign w:val="superscript"/>
    </w:rPr>
  </w:style>
  <w:style w:type="character" w:styleId="731">
    <w:name w:val="footnote reference"/>
    <w:rPr>
      <w:vertAlign w:val="superscript"/>
    </w:rPr>
  </w:style>
  <w:style w:type="character" w:styleId="732" w:customStyle="1">
    <w:name w:val="Текст концевой сноски Знак"/>
    <w:link w:val="759"/>
    <w:uiPriority w:val="99"/>
    <w:qFormat/>
    <w:rPr>
      <w:sz w:val="20"/>
    </w:rPr>
  </w:style>
  <w:style w:type="character" w:styleId="733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734" w:customStyle="1">
    <w:name w:val="Символ концевой сноски (user)"/>
    <w:qFormat/>
    <w:rPr>
      <w:vertAlign w:val="superscript"/>
    </w:rPr>
  </w:style>
  <w:style w:type="character" w:styleId="735">
    <w:name w:val="endnote reference"/>
    <w:rPr>
      <w:vertAlign w:val="superscript"/>
    </w:rPr>
  </w:style>
  <w:style w:type="character" w:styleId="736" w:customStyle="1">
    <w:name w:val="Основной текст Знак"/>
    <w:basedOn w:val="673"/>
    <w:link w:val="741"/>
    <w:qFormat/>
    <w:rPr>
      <w:rFonts w:ascii="Times New Roman" w:hAnsi="Times New Roman" w:eastAsia="Times New Roman" w:cs="Times New Roman"/>
      <w:sz w:val="20"/>
      <w:szCs w:val="20"/>
    </w:rPr>
  </w:style>
  <w:style w:type="character" w:styleId="737" w:customStyle="1">
    <w:name w:val="Текст выноски Знак"/>
    <w:basedOn w:val="673"/>
    <w:link w:val="772"/>
    <w:uiPriority w:val="99"/>
    <w:semiHidden/>
    <w:qFormat/>
    <w:rPr>
      <w:rFonts w:ascii="Tahoma" w:hAnsi="Tahoma" w:cs="Tahoma"/>
      <w:sz w:val="16"/>
      <w:szCs w:val="16"/>
    </w:rPr>
  </w:style>
  <w:style w:type="character" w:styleId="738" w:customStyle="1">
    <w:name w:val="Основной текст_"/>
    <w:link w:val="773"/>
    <w:qFormat/>
    <w:rPr>
      <w:rFonts w:ascii="Times New Roman" w:hAnsi="Times New Roman" w:eastAsia="Times New Roman" w:cs="Times New Roman"/>
      <w:sz w:val="27"/>
      <w:szCs w:val="27"/>
      <w:shd w:val="clear" w:color="auto" w:fill="ffffff"/>
    </w:rPr>
  </w:style>
  <w:style w:type="character" w:styleId="739">
    <w:name w:val="Hyperlink"/>
    <w:basedOn w:val="673"/>
    <w:uiPriority w:val="99"/>
    <w:semiHidden/>
    <w:unhideWhenUsed/>
    <w:rPr>
      <w:color w:val="0000ff"/>
      <w:u w:val="single"/>
    </w:rPr>
  </w:style>
  <w:style w:type="paragraph" w:styleId="740" w:customStyle="1">
    <w:name w:val="Заголовок"/>
    <w:basedOn w:val="663"/>
    <w:next w:val="741"/>
    <w:qFormat/>
    <w:pPr>
      <w:keepNext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741">
    <w:name w:val="Body Text"/>
    <w:basedOn w:val="663"/>
    <w:link w:val="736"/>
    <w:pPr>
      <w:spacing w:after="120" w:line="240" w:lineRule="auto"/>
      <w:widowControl w:val="off"/>
    </w:pPr>
    <w:rPr>
      <w:rFonts w:ascii="Times New Roman" w:hAnsi="Times New Roman" w:eastAsia="Times New Roman" w:cs="Times New Roman"/>
      <w:sz w:val="20"/>
      <w:szCs w:val="20"/>
    </w:rPr>
  </w:style>
  <w:style w:type="paragraph" w:styleId="742">
    <w:name w:val="List"/>
    <w:basedOn w:val="741"/>
    <w:rPr>
      <w:rFonts w:cs="Lohit Devanagari"/>
    </w:rPr>
  </w:style>
  <w:style w:type="paragraph" w:styleId="743">
    <w:name w:val="Caption"/>
    <w:basedOn w:val="663"/>
    <w:link w:val="709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744">
    <w:name w:val="index heading"/>
  </w:style>
  <w:style w:type="paragraph" w:styleId="745" w:customStyle="1">
    <w:name w:val="Заголовок (user)"/>
    <w:basedOn w:val="663"/>
    <w:next w:val="741"/>
    <w:qFormat/>
    <w:pPr>
      <w:keepNext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746" w:customStyle="1">
    <w:name w:val="Указатель (user)"/>
    <w:basedOn w:val="663"/>
    <w:qFormat/>
    <w:pPr>
      <w:suppressLineNumbers/>
    </w:pPr>
    <w:rPr>
      <w:rFonts w:cs="Droid Sans"/>
    </w:rPr>
  </w:style>
  <w:style w:type="paragraph" w:styleId="747" w:customStyle="1">
    <w:name w:val="index heading1"/>
    <w:qFormat/>
  </w:style>
  <w:style w:type="paragraph" w:styleId="748">
    <w:name w:val="Title"/>
    <w:basedOn w:val="663"/>
    <w:next w:val="663"/>
    <w:link w:val="721"/>
    <w:uiPriority w:val="10"/>
    <w:qFormat/>
    <w:pPr>
      <w:contextualSpacing/>
      <w:spacing w:before="300"/>
    </w:pPr>
    <w:rPr>
      <w:sz w:val="48"/>
      <w:szCs w:val="48"/>
    </w:rPr>
  </w:style>
  <w:style w:type="paragraph" w:styleId="749">
    <w:name w:val="Subtitle"/>
    <w:basedOn w:val="663"/>
    <w:next w:val="663"/>
    <w:link w:val="722"/>
    <w:uiPriority w:val="11"/>
    <w:qFormat/>
    <w:pPr>
      <w:spacing w:before="200"/>
    </w:pPr>
    <w:rPr>
      <w:sz w:val="24"/>
      <w:szCs w:val="24"/>
    </w:rPr>
  </w:style>
  <w:style w:type="paragraph" w:styleId="750">
    <w:name w:val="Quote"/>
    <w:basedOn w:val="663"/>
    <w:next w:val="663"/>
    <w:link w:val="723"/>
    <w:uiPriority w:val="29"/>
    <w:qFormat/>
    <w:pPr>
      <w:ind w:left="720" w:right="720"/>
    </w:pPr>
    <w:rPr>
      <w:i/>
    </w:rPr>
  </w:style>
  <w:style w:type="paragraph" w:styleId="751">
    <w:name w:val="Intense Quote"/>
    <w:basedOn w:val="663"/>
    <w:next w:val="663"/>
    <w:link w:val="72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52" w:customStyle="1">
    <w:name w:val="Колонтитул"/>
    <w:basedOn w:val="663"/>
    <w:qFormat/>
  </w:style>
  <w:style w:type="paragraph" w:styleId="753" w:customStyle="1">
    <w:name w:val="Колонтитулы (user)"/>
    <w:basedOn w:val="663"/>
    <w:qFormat/>
  </w:style>
  <w:style w:type="paragraph" w:styleId="754" w:customStyle="1">
    <w:name w:val="Колонтитулы"/>
    <w:basedOn w:val="663"/>
    <w:qFormat/>
  </w:style>
  <w:style w:type="paragraph" w:styleId="755">
    <w:name w:val="Header"/>
    <w:basedOn w:val="663"/>
    <w:link w:val="72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56">
    <w:name w:val="Footer"/>
    <w:basedOn w:val="663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57" w:customStyle="1">
    <w:name w:val="caption1"/>
    <w:basedOn w:val="663"/>
    <w:next w:val="66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758">
    <w:name w:val="footnote text"/>
    <w:basedOn w:val="663"/>
    <w:link w:val="728"/>
    <w:uiPriority w:val="99"/>
    <w:semiHidden/>
    <w:unhideWhenUsed/>
    <w:pPr>
      <w:spacing w:after="40" w:line="240" w:lineRule="auto"/>
    </w:pPr>
    <w:rPr>
      <w:sz w:val="18"/>
    </w:rPr>
  </w:style>
  <w:style w:type="paragraph" w:styleId="759">
    <w:name w:val="endnote text"/>
    <w:basedOn w:val="663"/>
    <w:link w:val="732"/>
    <w:uiPriority w:val="99"/>
    <w:semiHidden/>
    <w:unhideWhenUsed/>
    <w:pPr>
      <w:spacing w:after="0" w:line="240" w:lineRule="auto"/>
    </w:pPr>
    <w:rPr>
      <w:sz w:val="20"/>
    </w:rPr>
  </w:style>
  <w:style w:type="paragraph" w:styleId="760">
    <w:name w:val="toc 1"/>
    <w:basedOn w:val="663"/>
    <w:next w:val="663"/>
    <w:uiPriority w:val="39"/>
    <w:unhideWhenUsed/>
    <w:pPr>
      <w:spacing w:after="57"/>
    </w:pPr>
  </w:style>
  <w:style w:type="paragraph" w:styleId="761">
    <w:name w:val="toc 2"/>
    <w:basedOn w:val="663"/>
    <w:next w:val="663"/>
    <w:uiPriority w:val="39"/>
    <w:unhideWhenUsed/>
    <w:pPr>
      <w:ind w:left="283"/>
      <w:spacing w:after="57"/>
    </w:pPr>
  </w:style>
  <w:style w:type="paragraph" w:styleId="762">
    <w:name w:val="toc 3"/>
    <w:basedOn w:val="663"/>
    <w:next w:val="663"/>
    <w:uiPriority w:val="39"/>
    <w:unhideWhenUsed/>
    <w:pPr>
      <w:ind w:left="567"/>
      <w:spacing w:after="57"/>
    </w:pPr>
  </w:style>
  <w:style w:type="paragraph" w:styleId="763">
    <w:name w:val="toc 4"/>
    <w:basedOn w:val="663"/>
    <w:next w:val="663"/>
    <w:uiPriority w:val="39"/>
    <w:unhideWhenUsed/>
    <w:pPr>
      <w:ind w:left="850"/>
      <w:spacing w:after="57"/>
    </w:pPr>
  </w:style>
  <w:style w:type="paragraph" w:styleId="764">
    <w:name w:val="toc 5"/>
    <w:basedOn w:val="663"/>
    <w:next w:val="663"/>
    <w:uiPriority w:val="39"/>
    <w:unhideWhenUsed/>
    <w:pPr>
      <w:ind w:left="1134"/>
      <w:spacing w:after="57"/>
    </w:pPr>
  </w:style>
  <w:style w:type="paragraph" w:styleId="765">
    <w:name w:val="toc 6"/>
    <w:basedOn w:val="663"/>
    <w:next w:val="663"/>
    <w:uiPriority w:val="39"/>
    <w:unhideWhenUsed/>
    <w:pPr>
      <w:ind w:left="1417"/>
      <w:spacing w:after="57"/>
    </w:pPr>
  </w:style>
  <w:style w:type="paragraph" w:styleId="766">
    <w:name w:val="toc 7"/>
    <w:basedOn w:val="663"/>
    <w:next w:val="663"/>
    <w:uiPriority w:val="39"/>
    <w:unhideWhenUsed/>
    <w:pPr>
      <w:ind w:left="1701"/>
      <w:spacing w:after="57"/>
    </w:pPr>
  </w:style>
  <w:style w:type="paragraph" w:styleId="767">
    <w:name w:val="toc 8"/>
    <w:basedOn w:val="663"/>
    <w:next w:val="663"/>
    <w:uiPriority w:val="39"/>
    <w:unhideWhenUsed/>
    <w:pPr>
      <w:ind w:left="1984"/>
      <w:spacing w:after="57"/>
    </w:pPr>
  </w:style>
  <w:style w:type="paragraph" w:styleId="768">
    <w:name w:val="toc 9"/>
    <w:basedOn w:val="663"/>
    <w:next w:val="663"/>
    <w:uiPriority w:val="39"/>
    <w:unhideWhenUsed/>
    <w:pPr>
      <w:ind w:left="2268"/>
      <w:spacing w:after="57"/>
    </w:pPr>
  </w:style>
  <w:style w:type="paragraph" w:styleId="769">
    <w:name w:val="TOC Heading"/>
    <w:uiPriority w:val="39"/>
    <w:unhideWhenUsed/>
    <w:qFormat/>
    <w:pPr>
      <w:spacing w:after="200" w:line="276" w:lineRule="auto"/>
    </w:pPr>
  </w:style>
  <w:style w:type="paragraph" w:styleId="770">
    <w:name w:val="table of figures"/>
    <w:basedOn w:val="663"/>
    <w:next w:val="663"/>
    <w:uiPriority w:val="99"/>
    <w:unhideWhenUsed/>
    <w:pPr>
      <w:spacing w:after="0"/>
    </w:pPr>
  </w:style>
  <w:style w:type="paragraph" w:styleId="771">
    <w:name w:val="List Paragraph"/>
    <w:basedOn w:val="663"/>
    <w:uiPriority w:val="34"/>
    <w:qFormat/>
    <w:pPr>
      <w:contextualSpacing/>
      <w:ind w:left="720"/>
    </w:pPr>
  </w:style>
  <w:style w:type="paragraph" w:styleId="772">
    <w:name w:val="Balloon Text"/>
    <w:basedOn w:val="663"/>
    <w:link w:val="73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73" w:customStyle="1">
    <w:name w:val="Основной текст2"/>
    <w:basedOn w:val="663"/>
    <w:link w:val="738"/>
    <w:qFormat/>
    <w:pPr>
      <w:jc w:val="both"/>
      <w:spacing w:before="300" w:after="0" w:line="317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7"/>
      <w:szCs w:val="27"/>
    </w:rPr>
  </w:style>
  <w:style w:type="paragraph" w:styleId="774">
    <w:name w:val="Normal (Web)"/>
    <w:basedOn w:val="663"/>
    <w:uiPriority w:val="99"/>
    <w:unhideWhenUsed/>
    <w:qFormat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75">
    <w:name w:val="No Spacing"/>
    <w:uiPriority w:val="1"/>
    <w:qFormat/>
  </w:style>
  <w:style w:type="paragraph" w:styleId="776" w:customStyle="1">
    <w:name w:val="ConsPlusNonformat"/>
    <w:qFormat/>
    <w:pPr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numbering" w:styleId="777" w:customStyle="1">
    <w:name w:val="Без списка (user)"/>
    <w:uiPriority w:val="99"/>
    <w:semiHidden/>
    <w:unhideWhenUsed/>
    <w:qFormat/>
  </w:style>
  <w:style w:type="numbering" w:styleId="778" w:customStyle="1">
    <w:name w:val="Без списка"/>
    <w:uiPriority w:val="99"/>
    <w:semiHidden/>
    <w:unhideWhenUsed/>
    <w:qFormat/>
  </w:style>
  <w:style w:type="table" w:styleId="779" w:customStyle="1">
    <w:name w:val="Таблица простая 11"/>
    <w:basedOn w:val="67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80" w:customStyle="1">
    <w:name w:val="Таблица простая 21"/>
    <w:basedOn w:val="67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81" w:customStyle="1">
    <w:name w:val="Таблица простая 3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82" w:customStyle="1">
    <w:name w:val="Таблица простая 4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83" w:customStyle="1">
    <w:name w:val="Таблица простая 5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4" w:customStyle="1">
    <w:name w:val="Таблица-сетка 1 светлая1"/>
    <w:basedOn w:val="67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5" w:customStyle="1">
    <w:name w:val="Таблица-сетка 2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Таблица-сетка 3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Таблица-сетка 41"/>
    <w:basedOn w:val="67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88" w:customStyle="1">
    <w:name w:val="Таблица-сетка 5 темная1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789" w:customStyle="1">
    <w:name w:val="Таблица-сетк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0" w:customStyle="1">
    <w:name w:val="Таблица-сетка 7 цветная1"/>
    <w:basedOn w:val="67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Список-таблица 1 светлая1"/>
    <w:basedOn w:val="674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Список-таблица 21"/>
    <w:basedOn w:val="67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93" w:customStyle="1">
    <w:name w:val="Список-таблица 3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4" w:customStyle="1">
    <w:name w:val="Список-таблица 4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5" w:customStyle="1">
    <w:name w:val="Список-таблица 5 темная1"/>
    <w:basedOn w:val="67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796" w:customStyle="1">
    <w:name w:val="Список-таблиц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797" w:customStyle="1">
    <w:name w:val="Список-таблица 7 цветная1"/>
    <w:basedOn w:val="67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Таблица простая 11"/>
    <w:basedOn w:val="67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99" w:customStyle="1">
    <w:name w:val="Таблица простая 21"/>
    <w:basedOn w:val="67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00" w:customStyle="1">
    <w:name w:val="Таблица простая 3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01" w:customStyle="1">
    <w:name w:val="Таблица простая 4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02" w:customStyle="1">
    <w:name w:val="Таблица простая 5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3" w:customStyle="1">
    <w:name w:val="Таблица-сетка 1 светлая1"/>
    <w:basedOn w:val="67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4" w:customStyle="1">
    <w:name w:val="Таблица-сетка 2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Таблица-сетка 3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Таблица-сетка 41"/>
    <w:basedOn w:val="67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07" w:customStyle="1">
    <w:name w:val="Таблица-сетка 5 темная1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08" w:customStyle="1">
    <w:name w:val="Таблица-сетк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9" w:customStyle="1">
    <w:name w:val="Таблица-сетка 7 цветная1"/>
    <w:basedOn w:val="67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Список-таблица 1 светлая1"/>
    <w:basedOn w:val="674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Список-таблица 21"/>
    <w:basedOn w:val="67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12" w:customStyle="1">
    <w:name w:val="Список-таблица 3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3" w:customStyle="1">
    <w:name w:val="Список-таблица 4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4" w:customStyle="1">
    <w:name w:val="Список-таблица 5 темная1"/>
    <w:basedOn w:val="67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15" w:customStyle="1">
    <w:name w:val="Список-таблиц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16" w:customStyle="1">
    <w:name w:val="Список-таблица 7 цветная1"/>
    <w:basedOn w:val="67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Таблица простая 11"/>
    <w:basedOn w:val="67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18" w:customStyle="1">
    <w:name w:val="Таблица простая 21"/>
    <w:basedOn w:val="67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19" w:customStyle="1">
    <w:name w:val="Таблица простая 31"/>
    <w:basedOn w:val="674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20" w:customStyle="1">
    <w:name w:val="Таблица простая 41"/>
    <w:basedOn w:val="674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21" w:customStyle="1">
    <w:name w:val="Таблица простая 51"/>
    <w:basedOn w:val="674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2" w:customStyle="1">
    <w:name w:val="Таблица-сетка 1 светлая1"/>
    <w:basedOn w:val="67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right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3" w:customStyle="1">
    <w:name w:val="Таблица-сетка 2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Таблица-сетка 3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Таблица-сетка 41"/>
    <w:basedOn w:val="67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26" w:customStyle="1">
    <w:name w:val="Таблица-сетка 5 темная1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right w:w="0" w:type="dxa"/>
      </w:tblCellMar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827" w:customStyle="1">
    <w:name w:val="Таблица-сетк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right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8" w:customStyle="1">
    <w:name w:val="Таблица-сетка 7 цветная1"/>
    <w:basedOn w:val="67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right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Список-таблица 1 светлая1"/>
    <w:basedOn w:val="674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Список-таблица 21"/>
    <w:basedOn w:val="67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31" w:customStyle="1">
    <w:name w:val="Список-таблица 3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right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2" w:customStyle="1">
    <w:name w:val="Список-таблица 4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right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3" w:customStyle="1">
    <w:name w:val="Список-таблица 5 темная1"/>
    <w:basedOn w:val="67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right w:w="0" w:type="dxa"/>
      </w:tblCellMar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34" w:customStyle="1">
    <w:name w:val="Список-таблиц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right w:w="0" w:type="dxa"/>
      </w:tblCellMar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35" w:customStyle="1">
    <w:name w:val="Список-таблица 7 цветная1"/>
    <w:basedOn w:val="67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0" w:type="dxa"/>
        <w:right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Таблица простая 11"/>
    <w:basedOn w:val="67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37" w:customStyle="1">
    <w:name w:val="Таблица простая 21"/>
    <w:basedOn w:val="67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38" w:customStyle="1">
    <w:name w:val="Таблица простая 3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39" w:customStyle="1">
    <w:name w:val="Таблица простая 4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40" w:customStyle="1">
    <w:name w:val="Таблица простая 5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1" w:customStyle="1">
    <w:name w:val="Таблица-сетка 1 светлая1"/>
    <w:basedOn w:val="67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2" w:customStyle="1">
    <w:name w:val="Таблица-сетка 2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Таблица-сетка 3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Таблица-сетка 41"/>
    <w:basedOn w:val="67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45" w:customStyle="1">
    <w:name w:val="Таблица-сетка 5 темная1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46" w:customStyle="1">
    <w:name w:val="Таблица-сетк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7" w:customStyle="1">
    <w:name w:val="Таблица-сетка 7 цветная1"/>
    <w:basedOn w:val="67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Список-таблица 1 светлая1"/>
    <w:basedOn w:val="674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Список-таблица 21"/>
    <w:basedOn w:val="67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50" w:customStyle="1">
    <w:name w:val="Список-таблица 3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1" w:customStyle="1">
    <w:name w:val="Список-таблица 4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2" w:customStyle="1">
    <w:name w:val="Список-таблица 5 темная1"/>
    <w:basedOn w:val="67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3" w:customStyle="1">
    <w:name w:val="Список-таблиц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54" w:customStyle="1">
    <w:name w:val="Список-таблица 7 цветная1"/>
    <w:basedOn w:val="67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Таблица простая 11"/>
    <w:basedOn w:val="67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56" w:customStyle="1">
    <w:name w:val="Таблица простая 21"/>
    <w:basedOn w:val="67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57" w:customStyle="1">
    <w:name w:val="Таблица простая 3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58" w:customStyle="1">
    <w:name w:val="Таблица простая 4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59" w:customStyle="1">
    <w:name w:val="Таблица простая 5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0" w:customStyle="1">
    <w:name w:val="Таблица-сетка 1 светлая1"/>
    <w:basedOn w:val="67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1" w:customStyle="1">
    <w:name w:val="Таблица-сетка 2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Таблица-сетка 3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Таблица-сетка 41"/>
    <w:basedOn w:val="67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64" w:customStyle="1">
    <w:name w:val="Таблица-сетка 5 темная1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65" w:customStyle="1">
    <w:name w:val="Таблица-сетк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66" w:customStyle="1">
    <w:name w:val="Таблица-сетка 7 цветная1"/>
    <w:basedOn w:val="67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Список-таблица 1 светлая1"/>
    <w:basedOn w:val="674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Список-таблица 21"/>
    <w:basedOn w:val="67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69" w:customStyle="1">
    <w:name w:val="Список-таблица 3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0" w:customStyle="1">
    <w:name w:val="Список-таблица 4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1" w:customStyle="1">
    <w:name w:val="Список-таблица 5 темная1"/>
    <w:basedOn w:val="67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72" w:customStyle="1">
    <w:name w:val="Список-таблиц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73" w:customStyle="1">
    <w:name w:val="Список-таблица 7 цветная1"/>
    <w:basedOn w:val="67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Таблица простая 11"/>
    <w:basedOn w:val="67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75" w:customStyle="1">
    <w:name w:val="Таблица простая 21"/>
    <w:basedOn w:val="67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76" w:customStyle="1">
    <w:name w:val="Таблица простая 3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77" w:customStyle="1">
    <w:name w:val="Таблица простая 4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78" w:customStyle="1">
    <w:name w:val="Таблица простая 5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79" w:customStyle="1">
    <w:name w:val="Таблица-сетка 1 светлая1"/>
    <w:basedOn w:val="67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0" w:customStyle="1">
    <w:name w:val="Таблица-сетка 2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Таблица-сетка 3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Таблица-сетка 41"/>
    <w:basedOn w:val="67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83" w:customStyle="1">
    <w:name w:val="Таблица-сетка 5 темная1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84" w:customStyle="1">
    <w:name w:val="Таблица-сетк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5" w:customStyle="1">
    <w:name w:val="Таблица-сетка 7 цветная1"/>
    <w:basedOn w:val="67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Список-таблица 1 светлая1"/>
    <w:basedOn w:val="674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Список-таблица 21"/>
    <w:basedOn w:val="67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88" w:customStyle="1">
    <w:name w:val="Список-таблица 3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9" w:customStyle="1">
    <w:name w:val="Список-таблица 4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0" w:customStyle="1">
    <w:name w:val="Список-таблица 5 темная1"/>
    <w:basedOn w:val="67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1" w:customStyle="1">
    <w:name w:val="Список-таблиц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92" w:customStyle="1">
    <w:name w:val="Список-таблица 7 цветная1"/>
    <w:basedOn w:val="67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Таблица простая 11"/>
    <w:basedOn w:val="67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94" w:customStyle="1">
    <w:name w:val="Таблица простая 21"/>
    <w:basedOn w:val="67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95" w:customStyle="1">
    <w:name w:val="Таблица простая 3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96" w:customStyle="1">
    <w:name w:val="Таблица простая 4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97" w:customStyle="1">
    <w:name w:val="Таблица простая 5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98" w:customStyle="1">
    <w:name w:val="Таблица-сетка 1 светлая1"/>
    <w:basedOn w:val="67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9" w:customStyle="1">
    <w:name w:val="Таблица-сетка 2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Таблица-сетка 3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Таблица-сетка 41"/>
    <w:basedOn w:val="67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02" w:customStyle="1">
    <w:name w:val="Таблица-сетка 5 темная1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03" w:customStyle="1">
    <w:name w:val="Таблица-сетк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04" w:customStyle="1">
    <w:name w:val="Таблица-сетка 7 цветная1"/>
    <w:basedOn w:val="67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5" w:customStyle="1">
    <w:name w:val="Список-таблица 1 светлая1"/>
    <w:basedOn w:val="674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Список-таблица 21"/>
    <w:basedOn w:val="67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07" w:customStyle="1">
    <w:name w:val="Список-таблица 3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8" w:customStyle="1">
    <w:name w:val="Список-таблица 4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9" w:customStyle="1">
    <w:name w:val="Список-таблица 5 темная1"/>
    <w:basedOn w:val="67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10" w:customStyle="1">
    <w:name w:val="Список-таблиц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11" w:customStyle="1">
    <w:name w:val="Список-таблица 7 цветная1"/>
    <w:basedOn w:val="67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2" w:customStyle="1">
    <w:name w:val="Таблица простая 11"/>
    <w:basedOn w:val="67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13" w:customStyle="1">
    <w:name w:val="Таблица простая 21"/>
    <w:basedOn w:val="67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14" w:customStyle="1">
    <w:name w:val="Таблица простая 3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15" w:customStyle="1">
    <w:name w:val="Таблица простая 4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16" w:customStyle="1">
    <w:name w:val="Таблица простая 5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17" w:customStyle="1">
    <w:name w:val="Таблица-сетка 1 светлая1"/>
    <w:basedOn w:val="67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8" w:customStyle="1">
    <w:name w:val="Таблица-сетка 2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Таблица-сетка 3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Таблица-сетка 41"/>
    <w:basedOn w:val="67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21" w:customStyle="1">
    <w:name w:val="Таблица-сетка 5 темная1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22" w:customStyle="1">
    <w:name w:val="Таблица-сетк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23" w:customStyle="1">
    <w:name w:val="Таблица-сетка 7 цветная1"/>
    <w:basedOn w:val="67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Список-таблица 1 светлая1"/>
    <w:basedOn w:val="674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Список-таблица 21"/>
    <w:basedOn w:val="67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26" w:customStyle="1">
    <w:name w:val="Список-таблица 3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7" w:customStyle="1">
    <w:name w:val="Список-таблица 4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8" w:customStyle="1">
    <w:name w:val="Список-таблица 5 темная1"/>
    <w:basedOn w:val="67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9" w:customStyle="1">
    <w:name w:val="Список-таблиц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30" w:customStyle="1">
    <w:name w:val="Список-таблица 7 цветная1"/>
    <w:basedOn w:val="67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Таблица простая 11"/>
    <w:basedOn w:val="67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32" w:customStyle="1">
    <w:name w:val="Таблица простая 21"/>
    <w:basedOn w:val="67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33" w:customStyle="1">
    <w:name w:val="Таблица простая 3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34" w:customStyle="1">
    <w:name w:val="Таблица простая 4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35" w:customStyle="1">
    <w:name w:val="Таблица простая 5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36" w:customStyle="1">
    <w:name w:val="Таблица-сетка 1 светлая1"/>
    <w:basedOn w:val="67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7" w:customStyle="1">
    <w:name w:val="Таблица-сетка 2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 w:customStyle="1">
    <w:name w:val="Таблица-сетка 3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Таблица-сетка 41"/>
    <w:basedOn w:val="67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40" w:customStyle="1">
    <w:name w:val="Таблица-сетка 5 темная1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41" w:customStyle="1">
    <w:name w:val="Таблица-сетк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42" w:customStyle="1">
    <w:name w:val="Таблица-сетка 7 цветная1"/>
    <w:basedOn w:val="67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 w:customStyle="1">
    <w:name w:val="Список-таблица 1 светлая1"/>
    <w:basedOn w:val="674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Список-таблица 21"/>
    <w:basedOn w:val="67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45" w:customStyle="1">
    <w:name w:val="Список-таблица 3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6" w:customStyle="1">
    <w:name w:val="Список-таблица 4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7" w:customStyle="1">
    <w:name w:val="Список-таблица 5 темная1"/>
    <w:basedOn w:val="67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8" w:customStyle="1">
    <w:name w:val="Список-таблиц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49" w:customStyle="1">
    <w:name w:val="Список-таблица 7 цветная1"/>
    <w:basedOn w:val="67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Таблица простая 11"/>
    <w:basedOn w:val="67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51" w:customStyle="1">
    <w:name w:val="Заголовок 2 Знак1"/>
    <w:basedOn w:val="67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52" w:customStyle="1">
    <w:name w:val="Таблица простая 3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53" w:customStyle="1">
    <w:name w:val="Таблица простая 4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54" w:customStyle="1">
    <w:name w:val="Таблица простая 5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55" w:customStyle="1">
    <w:name w:val="Таблица-сетка 1 светлая1"/>
    <w:basedOn w:val="67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6" w:customStyle="1">
    <w:name w:val="Таблица-сетка 2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 w:customStyle="1">
    <w:name w:val="Таблица-сетка 3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 w:customStyle="1">
    <w:name w:val="Таблица-сетка 41"/>
    <w:basedOn w:val="67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59" w:customStyle="1">
    <w:name w:val="Таблица-сетка 5 темная1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60" w:customStyle="1">
    <w:name w:val="Таблица-сетк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61" w:customStyle="1">
    <w:name w:val="Таблица-сетка 7 цветная1"/>
    <w:basedOn w:val="67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2" w:customStyle="1">
    <w:name w:val="Список-таблица 1 светлая1"/>
    <w:basedOn w:val="674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 w:customStyle="1">
    <w:name w:val="Список-таблица 21"/>
    <w:basedOn w:val="67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64" w:customStyle="1">
    <w:name w:val="Список-таблица 3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5" w:customStyle="1">
    <w:name w:val="Список-таблица 4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6" w:customStyle="1">
    <w:name w:val="Список-таблица 5 темная1"/>
    <w:basedOn w:val="67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67" w:customStyle="1">
    <w:name w:val="Список-таблиц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68" w:customStyle="1">
    <w:name w:val="Список-таблица 7 цветная1"/>
    <w:basedOn w:val="67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9">
    <w:name w:val="Table Grid"/>
    <w:basedOn w:val="67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70" w:customStyle="1">
    <w:name w:val="Table Grid Light"/>
    <w:basedOn w:val="67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71" w:customStyle="1">
    <w:name w:val="Таблица простая 11"/>
    <w:basedOn w:val="67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72" w:customStyle="1">
    <w:name w:val="Таблица простая 21"/>
    <w:basedOn w:val="67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73" w:customStyle="1">
    <w:name w:val="Таблица простая 3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74" w:customStyle="1">
    <w:name w:val="Таблица простая 4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75" w:customStyle="1">
    <w:name w:val="Таблица простая 51"/>
    <w:basedOn w:val="6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76" w:customStyle="1">
    <w:name w:val="Таблица-сетка 1 светлая1"/>
    <w:basedOn w:val="67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7" w:customStyle="1">
    <w:name w:val="Grid Table 1 Light - Accent 1"/>
    <w:basedOn w:val="67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8" w:customStyle="1">
    <w:name w:val="Grid Table 1 Light - Accent 2"/>
    <w:basedOn w:val="67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9" w:customStyle="1">
    <w:name w:val="Grid Table 1 Light - Accent 3"/>
    <w:basedOn w:val="67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0" w:customStyle="1">
    <w:name w:val="Grid Table 1 Light - Accent 4"/>
    <w:basedOn w:val="67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1" w:customStyle="1">
    <w:name w:val="Grid Table 1 Light - Accent 5"/>
    <w:basedOn w:val="67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2" w:customStyle="1">
    <w:name w:val="Grid Table 1 Light - Accent 6"/>
    <w:basedOn w:val="67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3" w:customStyle="1">
    <w:name w:val="Таблица-сетка 2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4" w:customStyle="1">
    <w:name w:val="Grid Table 2 - Accent 1"/>
    <w:basedOn w:val="67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5" w:customStyle="1">
    <w:name w:val="Grid Table 2 - Accent 2"/>
    <w:basedOn w:val="67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6" w:customStyle="1">
    <w:name w:val="Grid Table 2 - Accent 3"/>
    <w:basedOn w:val="67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7" w:customStyle="1">
    <w:name w:val="Grid Table 2 - Accent 4"/>
    <w:basedOn w:val="67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8" w:customStyle="1">
    <w:name w:val="Grid Table 2 - Accent 5"/>
    <w:basedOn w:val="67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9" w:customStyle="1">
    <w:name w:val="Grid Table 2 - Accent 6"/>
    <w:basedOn w:val="67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0" w:customStyle="1">
    <w:name w:val="Таблица-сетка 31"/>
    <w:basedOn w:val="6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1" w:customStyle="1">
    <w:name w:val="Grid Table 3 - Accent 1"/>
    <w:basedOn w:val="67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2" w:customStyle="1">
    <w:name w:val="Grid Table 3 - Accent 2"/>
    <w:basedOn w:val="67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3" w:customStyle="1">
    <w:name w:val="Grid Table 3 - Accent 3"/>
    <w:basedOn w:val="67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4" w:customStyle="1">
    <w:name w:val="Grid Table 3 - Accent 4"/>
    <w:basedOn w:val="67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5" w:customStyle="1">
    <w:name w:val="Grid Table 3 - Accent 5"/>
    <w:basedOn w:val="67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6" w:customStyle="1">
    <w:name w:val="Grid Table 3 - Accent 6"/>
    <w:basedOn w:val="67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7" w:customStyle="1">
    <w:name w:val="Таблица-сетка 41"/>
    <w:basedOn w:val="67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98" w:customStyle="1">
    <w:name w:val="Grid Table 4 - Accent 1"/>
    <w:basedOn w:val="674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ce6f2" w:fill="dce6f2" w:themeFill="accent1" w:themeFillTint="32"/>
      </w:tcPr>
    </w:tblStylePr>
    <w:tblStylePr w:type="band1Vert">
      <w:rPr>
        <w:sz w:val="22"/>
      </w:rPr>
      <w:tcPr>
        <w:shd w:val="clear" w:color="dce6f2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d8ac2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</w:tcBorders>
      </w:tcPr>
    </w:tblStylePr>
  </w:style>
  <w:style w:type="table" w:styleId="999" w:customStyle="1">
    <w:name w:val="Grid Table 4 - Accent 2"/>
    <w:basedOn w:val="674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</w:tcBorders>
      </w:tcPr>
    </w:tblStylePr>
  </w:style>
  <w:style w:type="table" w:styleId="1000" w:customStyle="1">
    <w:name w:val="Grid Table 4 - Accent 3"/>
    <w:basedOn w:val="674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abb59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</w:tcBorders>
      </w:tcPr>
    </w:tblStylePr>
  </w:style>
  <w:style w:type="table" w:styleId="1001" w:customStyle="1">
    <w:name w:val="Grid Table 4 - Accent 4"/>
    <w:basedOn w:val="67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</w:tcBorders>
      </w:tcPr>
    </w:tblStylePr>
  </w:style>
  <w:style w:type="table" w:styleId="1002" w:customStyle="1">
    <w:name w:val="Grid Table 4 - Accent 5"/>
    <w:basedOn w:val="674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1003" w:customStyle="1">
    <w:name w:val="Grid Table 4 - Accent 6"/>
    <w:basedOn w:val="674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1004" w:customStyle="1">
    <w:name w:val="Таблица-сетка 5 темная1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1005" w:customStyle="1">
    <w:name w:val="Grid Table 5 Dark- Accent 1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sz w:val="22"/>
      </w:rPr>
      <w:tcPr>
        <w:shd w:val="clear" w:color="4f81bd" w:fill="4f81bd" w:themeFill="accent1"/>
      </w:tc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  <w:sz w:val="22"/>
      </w:rPr>
      <w:tcPr>
        <w:shd w:val="clear" w:color="4f81bd" w:fill="4f81bd" w:themeFill="accent1"/>
      </w:tcPr>
    </w:tblStylePr>
    <w:tblStylePr w:type="lastRow">
      <w:rPr>
        <w:b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1006" w:customStyle="1">
    <w:name w:val="Grid Table 5 Dark - Accent 2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sz w:val="22"/>
      </w:rPr>
      <w:tcPr>
        <w:shd w:val="clear" w:color="c0504d" w:fill="c0504d" w:themeFill="accent2"/>
      </w:tc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  <w:sz w:val="22"/>
      </w:rPr>
      <w:tcPr>
        <w:shd w:val="clear" w:color="c0504d" w:fill="c0504d" w:themeFill="accent2"/>
      </w:tcPr>
    </w:tblStylePr>
    <w:tblStylePr w:type="lastRow">
      <w:rPr>
        <w:b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1007" w:customStyle="1">
    <w:name w:val="Grid Table 5 Dark - Accent 3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sz w:val="22"/>
      </w:rPr>
      <w:tcPr>
        <w:shd w:val="clear" w:color="9bbb59" w:fill="9bbb59" w:themeFill="accent3"/>
      </w:tc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  <w:sz w:val="22"/>
      </w:rPr>
      <w:tcPr>
        <w:shd w:val="clear" w:color="9bbb59" w:fill="9bbb59" w:themeFill="accent3"/>
      </w:tcPr>
    </w:tblStylePr>
    <w:tblStylePr w:type="lastRow">
      <w:rPr>
        <w:b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1008" w:customStyle="1">
    <w:name w:val="Grid Table 5 Dark- Accent 4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sz w:val="22"/>
      </w:rPr>
      <w:tcPr>
        <w:shd w:val="clear" w:color="8064a2" w:fill="8064a2" w:themeFill="accent4"/>
      </w:tc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  <w:sz w:val="22"/>
      </w:rPr>
      <w:tcPr>
        <w:shd w:val="clear" w:color="8064a2" w:fill="8064a2" w:themeFill="accent4"/>
      </w:tcPr>
    </w:tblStylePr>
    <w:tblStylePr w:type="lastRow">
      <w:rPr>
        <w:b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1009" w:customStyle="1">
    <w:name w:val="Grid Table 5 Dark - Accent 5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sz w:val="22"/>
      </w:rPr>
      <w:tcPr>
        <w:shd w:val="clear" w:color="4bacc6" w:fill="4bacc6" w:themeFill="accent5"/>
      </w:tc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  <w:sz w:val="22"/>
      </w:rPr>
      <w:tcPr>
        <w:shd w:val="clear" w:color="4bacc6" w:fill="4bacc6" w:themeFill="accent5"/>
      </w:tcPr>
    </w:tblStylePr>
    <w:tblStylePr w:type="lastRow">
      <w:rPr>
        <w:b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1010" w:customStyle="1">
    <w:name w:val="Grid Table 5 Dark - Accent 6"/>
    <w:basedOn w:val="6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sz w:val="22"/>
      </w:rPr>
      <w:tcPr>
        <w:shd w:val="clear" w:color="f79646" w:fill="f79646" w:themeFill="accent6"/>
      </w:tc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  <w:sz w:val="22"/>
      </w:rPr>
      <w:tcPr>
        <w:shd w:val="clear" w:color="f79646" w:fill="f79646" w:themeFill="accent6"/>
      </w:tcPr>
    </w:tblStylePr>
    <w:tblStylePr w:type="lastRow">
      <w:rPr>
        <w:b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1011" w:customStyle="1">
    <w:name w:val="Таблица-сетк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012" w:customStyle="1">
    <w:name w:val="Grid Table 6 Colorful - Accent 1"/>
    <w:basedOn w:val="674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013" w:customStyle="1">
    <w:name w:val="Grid Table 6 Colorful - Accent 2"/>
    <w:basedOn w:val="67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014" w:customStyle="1">
    <w:name w:val="Grid Table 6 Colorful - Accent 3"/>
    <w:basedOn w:val="674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015" w:customStyle="1">
    <w:name w:val="Grid Table 6 Colorful - Accent 4"/>
    <w:basedOn w:val="67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016" w:customStyle="1">
    <w:name w:val="Grid Table 6 Colorful - Accent 5"/>
    <w:basedOn w:val="674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17" w:customStyle="1">
    <w:name w:val="Grid Table 6 Colorful - Accent 6"/>
    <w:basedOn w:val="674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18" w:customStyle="1">
    <w:name w:val="Таблица-сетка 7 цветная1"/>
    <w:basedOn w:val="67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19" w:customStyle="1">
    <w:name w:val="Grid Table 7 Colorful - Accent 1"/>
    <w:basedOn w:val="674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0" w:customStyle="1">
    <w:name w:val="Grid Table 7 Colorful - Accent 2"/>
    <w:basedOn w:val="674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1" w:customStyle="1">
    <w:name w:val="Grid Table 7 Colorful - Accent 3"/>
    <w:basedOn w:val="674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2" w:customStyle="1">
    <w:name w:val="Grid Table 7 Colorful - Accent 4"/>
    <w:basedOn w:val="67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3" w:customStyle="1">
    <w:name w:val="Grid Table 7 Colorful - Accent 5"/>
    <w:basedOn w:val="674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4" w:customStyle="1">
    <w:name w:val="Grid Table 7 Colorful - Accent 6"/>
    <w:basedOn w:val="674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val="b154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5" w:customStyle="1">
    <w:name w:val="Список-таблица 1 светлая1"/>
    <w:basedOn w:val="674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6" w:customStyle="1">
    <w:name w:val="List Table 1 Light - Accent 1"/>
    <w:basedOn w:val="674"/>
    <w:uiPriority w:val="99"/>
    <w:tblPr>
      <w:tblStyleRowBandSize w:val="1"/>
      <w:tblStyleColBandSize w:val="1"/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7" w:customStyle="1">
    <w:name w:val="List Table 1 Light - Accent 2"/>
    <w:basedOn w:val="674"/>
    <w:uiPriority w:val="99"/>
    <w:tblPr>
      <w:tblStyleRowBandSize w:val="1"/>
      <w:tblStyleColBandSize w:val="1"/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8" w:customStyle="1">
    <w:name w:val="List Table 1 Light - Accent 3"/>
    <w:basedOn w:val="674"/>
    <w:uiPriority w:val="99"/>
    <w:tblPr>
      <w:tblStyleRowBandSize w:val="1"/>
      <w:tblStyleColBandSize w:val="1"/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9" w:customStyle="1">
    <w:name w:val="List Table 1 Light - Accent 4"/>
    <w:basedOn w:val="674"/>
    <w:uiPriority w:val="99"/>
    <w:tblPr>
      <w:tblStyleRowBandSize w:val="1"/>
      <w:tblStyleColBandSize w:val="1"/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0" w:customStyle="1">
    <w:name w:val="List Table 1 Light - Accent 5"/>
    <w:basedOn w:val="674"/>
    <w:uiPriority w:val="99"/>
    <w:tblPr>
      <w:tblStyleRowBandSize w:val="1"/>
      <w:tblStyleColBandSize w:val="1"/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1" w:customStyle="1">
    <w:name w:val="List Table 1 Light - Accent 6"/>
    <w:basedOn w:val="674"/>
    <w:uiPriority w:val="99"/>
    <w:tblPr>
      <w:tblStyleRowBandSize w:val="1"/>
      <w:tblStyleColBandSize w:val="1"/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2" w:customStyle="1">
    <w:name w:val="Список-таблица 21"/>
    <w:basedOn w:val="67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033" w:customStyle="1">
    <w:name w:val="List Table 2 - Accent 1"/>
    <w:basedOn w:val="674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1034" w:customStyle="1">
    <w:name w:val="List Table 2 - Accent 2"/>
    <w:basedOn w:val="674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1035" w:customStyle="1">
    <w:name w:val="List Table 2 - Accent 3"/>
    <w:basedOn w:val="674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1036" w:customStyle="1">
    <w:name w:val="List Table 2 - Accent 4"/>
    <w:basedOn w:val="67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1037" w:customStyle="1">
    <w:name w:val="List Table 2 - Accent 5"/>
    <w:basedOn w:val="674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1038" w:customStyle="1">
    <w:name w:val="List Table 2 - Accent 6"/>
    <w:basedOn w:val="674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1039" w:customStyle="1">
    <w:name w:val="Список-таблица 3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0" w:customStyle="1">
    <w:name w:val="List Table 3 - Accent 1"/>
    <w:basedOn w:val="674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1" w:customStyle="1">
    <w:name w:val="List Table 3 - Accent 2"/>
    <w:basedOn w:val="67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2" w:customStyle="1">
    <w:name w:val="List Table 3 - Accent 3"/>
    <w:basedOn w:val="674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3d69b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3" w:customStyle="1">
    <w:name w:val="List Table 3 - Accent 4"/>
    <w:basedOn w:val="67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4" w:customStyle="1">
    <w:name w:val="List Table 3 - Accent 5"/>
    <w:basedOn w:val="674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2ccdc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5" w:customStyle="1">
    <w:name w:val="List Table 3 - Accent 6"/>
    <w:basedOn w:val="674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ac090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6" w:customStyle="1">
    <w:name w:val="Список-таблица 41"/>
    <w:basedOn w:val="6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7" w:customStyle="1">
    <w:name w:val="List Table 4 - Accent 1"/>
    <w:basedOn w:val="674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8" w:customStyle="1">
    <w:name w:val="List Table 4 - Accent 2"/>
    <w:basedOn w:val="674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49" w:customStyle="1">
    <w:name w:val="List Table 4 - Accent 3"/>
    <w:basedOn w:val="674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50" w:customStyle="1">
    <w:name w:val="List Table 4 - Accent 4"/>
    <w:basedOn w:val="67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51" w:customStyle="1">
    <w:name w:val="List Table 4 - Accent 5"/>
    <w:basedOn w:val="674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52" w:customStyle="1">
    <w:name w:val="List Table 4 - Accent 6"/>
    <w:basedOn w:val="674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53" w:customStyle="1">
    <w:name w:val="Список-таблица 5 темная1"/>
    <w:basedOn w:val="67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54" w:customStyle="1">
    <w:name w:val="List Table 5 Dark - Accent 1"/>
    <w:basedOn w:val="674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55" w:customStyle="1">
    <w:name w:val="List Table 5 Dark - Accent 2"/>
    <w:basedOn w:val="674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56" w:customStyle="1">
    <w:name w:val="List Table 5 Dark - Accent 3"/>
    <w:basedOn w:val="674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57" w:customStyle="1">
    <w:name w:val="List Table 5 Dark - Accent 4"/>
    <w:basedOn w:val="67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58" w:customStyle="1">
    <w:name w:val="List Table 5 Dark - Accent 5"/>
    <w:basedOn w:val="674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59" w:customStyle="1">
    <w:name w:val="List Table 5 Dark - Accent 6"/>
    <w:basedOn w:val="674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60" w:customStyle="1">
    <w:name w:val="Список-таблица 6 цветная1"/>
    <w:basedOn w:val="67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061" w:customStyle="1">
    <w:name w:val="List Table 6 Colorful - Accent 1"/>
    <w:basedOn w:val="674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62" w:customStyle="1">
    <w:name w:val="List Table 6 Colorful - Accent 2"/>
    <w:basedOn w:val="674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1063" w:customStyle="1">
    <w:name w:val="List Table 6 Colorful - Accent 3"/>
    <w:basedOn w:val="674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1064" w:customStyle="1">
    <w:name w:val="List Table 6 Colorful - Accent 4"/>
    <w:basedOn w:val="67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1065" w:customStyle="1">
    <w:name w:val="List Table 6 Colorful - Accent 5"/>
    <w:basedOn w:val="674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1066" w:customStyle="1">
    <w:name w:val="List Table 6 Colorful - Accent 6"/>
    <w:basedOn w:val="674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1067" w:customStyle="1">
    <w:name w:val="Список-таблица 7 цветная1"/>
    <w:basedOn w:val="67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68" w:customStyle="1">
    <w:name w:val="List Table 7 Colorful - Accent 1"/>
    <w:basedOn w:val="674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69" w:customStyle="1">
    <w:name w:val="List Table 7 Colorful - Accent 2"/>
    <w:basedOn w:val="674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70" w:customStyle="1">
    <w:name w:val="List Table 7 Colorful - Accent 3"/>
    <w:basedOn w:val="674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71" w:customStyle="1">
    <w:name w:val="List Table 7 Colorful - Accent 4"/>
    <w:basedOn w:val="67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72" w:customStyle="1">
    <w:name w:val="List Table 7 Colorful - Accent 5"/>
    <w:basedOn w:val="674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73" w:customStyle="1">
    <w:name w:val="List Table 7 Colorful - Accent 6"/>
    <w:basedOn w:val="674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74" w:customStyle="1">
    <w:name w:val="Lined - Accent"/>
    <w:basedOn w:val="674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fffff" w:themeFill="text1" w:themeFillTint="00"/>
      </w:tcPr>
    </w:tblStylePr>
    <w:tblStylePr w:type="band2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1075" w:customStyle="1">
    <w:name w:val="Lined - Accent 1"/>
    <w:basedOn w:val="674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1076" w:customStyle="1">
    <w:name w:val="Lined - Accent 2"/>
    <w:basedOn w:val="674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1077" w:customStyle="1">
    <w:name w:val="Lined - Accent 3"/>
    <w:basedOn w:val="674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1078" w:customStyle="1">
    <w:name w:val="Lined - Accent 4"/>
    <w:basedOn w:val="674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1079" w:customStyle="1">
    <w:name w:val="Lined - Accent 5"/>
    <w:basedOn w:val="674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1080" w:customStyle="1">
    <w:name w:val="Lined - Accent 6"/>
    <w:basedOn w:val="674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1081" w:customStyle="1">
    <w:name w:val="Bordered &amp; Lined - Accent"/>
    <w:basedOn w:val="67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fffff" w:themeFill="text1" w:themeFillTint="00"/>
      </w:tcPr>
    </w:tblStylePr>
    <w:tblStylePr w:type="band2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1082" w:customStyle="1">
    <w:name w:val="Bordered &amp; Lined - Accent 1"/>
    <w:basedOn w:val="67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1083" w:customStyle="1">
    <w:name w:val="Bordered &amp; Lined - Accent 2"/>
    <w:basedOn w:val="67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1084" w:customStyle="1">
    <w:name w:val="Bordered &amp; Lined - Accent 3"/>
    <w:basedOn w:val="67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1085" w:customStyle="1">
    <w:name w:val="Bordered &amp; Lined - Accent 4"/>
    <w:basedOn w:val="67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1086" w:customStyle="1">
    <w:name w:val="Bordered &amp; Lined - Accent 5"/>
    <w:basedOn w:val="67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1087" w:customStyle="1">
    <w:name w:val="Bordered &amp; Lined - Accent 6"/>
    <w:basedOn w:val="67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1088" w:customStyle="1">
    <w:name w:val="Bordered"/>
    <w:basedOn w:val="674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089" w:customStyle="1">
    <w:name w:val="Bordered - Accent 1"/>
    <w:basedOn w:val="67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90" w:customStyle="1">
    <w:name w:val="Bordered - Accent 2"/>
    <w:basedOn w:val="67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1091" w:customStyle="1">
    <w:name w:val="Bordered - Accent 3"/>
    <w:basedOn w:val="67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1092" w:customStyle="1">
    <w:name w:val="Bordered - Accent 4"/>
    <w:basedOn w:val="67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1093" w:customStyle="1">
    <w:name w:val="Bordered - Accent 5"/>
    <w:basedOn w:val="67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1094" w:customStyle="1">
    <w:name w:val="Bordered - Accent 6"/>
    <w:basedOn w:val="67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sz w:val="22"/>
      </w:rPr>
      <w:tcPr>
        <w:tcBorders>
          <w:top w:val="single" w:color="F79646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A0E68-6202-47F3-8C28-15E8C740D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Ражина</dc:creator>
  <dc:description/>
  <dc:language>ru-RU</dc:language>
  <cp:lastModifiedBy>konovalenkoan</cp:lastModifiedBy>
  <cp:revision>394</cp:revision>
  <dcterms:created xsi:type="dcterms:W3CDTF">2022-09-15T06:40:00Z</dcterms:created>
  <dcterms:modified xsi:type="dcterms:W3CDTF">2026-09-11T06:10:10Z</dcterms:modified>
</cp:coreProperties>
</file>