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Об итогах работы ТФОМС Липецкой области за I полугодие 2025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4"/>
        <w:ind w:firstLine="720"/>
        <w:jc w:val="both"/>
        <w:spacing w:line="276" w:lineRule="auto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 I полугодие 2025 года доходы бюджета территориального фонда ОМС сложились в размере 11 972,9 млн. рублей, что составляет 100% от утвержденных бюджетных назначений и 109,7% к доходам аналогичного периода 2024 года (10 918,3 млн. рублей).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3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бюджет территориального фонда обязательного медицинского страхования Липецкой области за этот период поступило средств в виде: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субвенции из Федерального фонда обязательного медицинского страхования на финансовое обеспечение организации обязательного медицинского страхования в сумме 11 655,4 млн. рублей;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межбюджетных трансфертов, полученных из областного бюджета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страхования, в размере 98,5 млн. рублей.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4"/>
        <w:ind w:firstLine="720"/>
        <w:jc w:val="both"/>
        <w:spacing w:line="276" w:lineRule="auto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Рост сопоставимых вышеуказанных доходов фонда для финансового обеспечения реализации территориальной программы ОМС в 1 полугодии 2025 года составил 1 030,0 млн. рублей или 109,6%.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выполнение территориальной программы ОМС за 1 полугодие 2025 года медицинскими организациями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предъявлена на оплату медицинская помощь на сумму 11 594,3 млн. рублей, что составляет 100,2% от утвержденной стоимости программы и 109,3% к аналогичному показателю прошлого года (10 603,3 млн. рублей), в том числе: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Style w:val="854"/>
        <w:ind w:firstLine="720"/>
        <w:jc w:val="both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 стоимость амбулаторной медицинской помощи утверждена в сумме 4 474,9 млн. рублей, фактическое выполнение составило – 4 289,6 млн. рублей или 95,9% от утвержденной и 99,8% к соответствующему показателю прошлого года (4 297,3 млн. рублей);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firstLine="720"/>
        <w:jc w:val="both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 стоимость стационарной помощи утверждена в сумме 5 190,7 млн. рублей, фактическое выполнение составило 5 497,4 млн. рублей или 105,9% от утвержденной и 123,7% к аналогичному показателю прошлого года (4 445,9 млн. рублей);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firstLine="720"/>
        <w:jc w:val="both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 стоимость медицинской помощи в дневных стационарах утверждена в сумме 1 169,3 млн. рублей, фактически выполнено – 1 100,6 млн. рублей или 94,1%  от утвержденной стоимости и 88,0% к соответствующему показателю 2024 года (1 250,6 млн. рублей);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firstLine="720"/>
        <w:jc w:val="both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 стоимость скорой медицинской помощи утверждена в сумме 736,5 млн. рублей, фактически выполнено – 706,8 млн. рублей или 96,0% от утвержденной и 116,0% к соответствующему показателю прошлого года (609,4 млн. рублей).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firstLine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firstLine="708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Объемы медицинской помощи, установленные Комиссией по разработке территориальной программы ОМС, выполнены медицинскими организациями в 1 полугодии текущего года: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 по стационарной медицинской помощи в целом – на 104,5%;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 по амбулаторной медицинской помощи в неотложной форме – на 102,8% и на 114,3% к уровню прошлого года; по обращениям по поводу заболеваний – на 119,0%  и 103,7% к уровню прошлого года;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 по медицинской помощи, оказанной в дневных стационарах - на 99,3%;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firstLine="708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 по скорой медицинской помощи – на 87,8% или на 106,8% к уровню аналогичного показателя прошлого года. 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Style w:val="854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Стоимость специализированной медицинской помощи пациентам со злокачественными новообр</w:t>
      </w:r>
      <w:r>
        <w:rPr>
          <w:sz w:val="28"/>
          <w:szCs w:val="28"/>
          <w:lang w:eastAsia="ru-RU"/>
        </w:rPr>
        <w:t xml:space="preserve">азованиями (ЗНО), принятой к оплате, за 6 месяцев 2025 года составила 1 237,7 млн. рублей (112,4% от запланированной суммы – 1 100,9 млн. рублей), в том числе в стационарных условиях – 712,6 млн. рублей, в условиях дневного стационара – 525,1 млн. рублей.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Средняя стоимость 1 случая специализированного лечения па</w:t>
      </w:r>
      <w:r>
        <w:rPr>
          <w:sz w:val="28"/>
          <w:szCs w:val="28"/>
          <w:lang w:eastAsia="ru-RU"/>
        </w:rPr>
        <w:t xml:space="preserve">циентов</w:t>
      </w:r>
      <w:r>
        <w:rPr>
          <w:sz w:val="28"/>
          <w:szCs w:val="28"/>
          <w:lang w:eastAsia="ru-RU"/>
        </w:rPr>
        <w:t xml:space="preserve"> с ЗНО за отчетный период составила в целом 70,4 тыс. рублей, в стационарных условиях – 75,1 тыс. рублей (при плановой средней стоимости 96,9 тыс. рублей), в условиях дневного стационара – 64,8 тыс. рублей (при плановой средней стоимости 76,2 тыс. рублей).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Объем специализированной медицинской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помощи пациентам с ЗНО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 I полугодие 2025 года составил 17 592 случая, в том числе в круглосуточном стационаре – 9 486 случаев (167% от запланированного объема – 5 676 госпитализаций), в дневном стационар – 8 106 случаев (112% от запланированного объема – 7 232 госпитализации).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результате проведенного медико-экономического контроля по пункту дефекта 1.6.3 (предъявление к оплате медицинской помощи сверх распределенного объема предоставления медицинской помощи, установленного решением комиссии по разра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отке территориальной программы ОМС) от оплаты отклонено за 6 месяцев текущего года 580 414,0 тыс. рублей. Детализация по видам оказания медицинской помощи в разрезе медицинских организаций отклоненной за первое полугодие 2025 года отражена в Приложении №1.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План диспансеризации взрослого населения на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I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полугодие 202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5 года установлен в количестве 253 786 человек. Фактически осмотрено в рамках диспансеризации – 302 564 человек или 119,2% от утвержденного плана. Предъявлено счетов к оплате за проведенную диспансеризацию в рамках 1 и 2 этапов на сумму 889,4 млн. рублей.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План по реализации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профилактических медицинских осмотров взрослого населения на I полугодие 2025 года установлен в размере 55 811 человек. Фактически осмотрено 112 % от утвержденного плана или 62 559 человек. Общая сумма за проведение профилактических медицинских осмотров,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предъявленная медицинскими организациями к оплате за отчетный период 2025 года, составила 108,8 млн. рублей.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План по проведению профилактических медицинских осмотров несовершеннолетних на январь-июнь 2025 года установлен в количестве 120 792 человека. Фактически осмотрено 135 034 человека или 112% от утвержденного плана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 1 полугодие 2025 года, сумма выставленных на оплату счетов по реестрам составила 465,8 млн. рублей. Из 23 медицинских организаций, проводивших профилактические медицинские осмотры несовершеннолетних, не выполнили установленный план - 10 МО, в том числе: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numPr>
          <w:ilvl w:val="0"/>
          <w:numId w:val="22"/>
        </w:numPr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ГУЗ Липецкая городская больница № 4 «Липецк-Мед» - 97,3%;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numPr>
          <w:ilvl w:val="0"/>
          <w:numId w:val="22"/>
        </w:numPr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ГУЗ «Липецкая городская поликлиника № 4» - 39,6%;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numPr>
          <w:ilvl w:val="0"/>
          <w:numId w:val="22"/>
        </w:numPr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ГУЗ «Тербунская ЦРБ» (Воловский район) - 67%;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numPr>
          <w:ilvl w:val="0"/>
          <w:numId w:val="22"/>
        </w:numPr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ГУЗ «Грязинская ЦРБ» - 99,5%;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numPr>
          <w:ilvl w:val="0"/>
          <w:numId w:val="22"/>
        </w:numPr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ГУЗ «Добринская ЦРБ» - 99%;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numPr>
          <w:ilvl w:val="0"/>
          <w:numId w:val="22"/>
        </w:numPr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ГУЗ «Задонская ЦРБ» - 83,4%;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numPr>
          <w:ilvl w:val="0"/>
          <w:numId w:val="22"/>
        </w:numPr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ГУЗ «Лебедянская ЦРБ» (Краснинский район) - 36,2%;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numPr>
          <w:ilvl w:val="0"/>
          <w:numId w:val="22"/>
        </w:numPr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ГУЗ «Данковская ЦРБ» (Лев-Толстовский район) - 57,1%;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numPr>
          <w:ilvl w:val="0"/>
          <w:numId w:val="22"/>
        </w:numPr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ГУЗ «Становлянская РБ» - 99,2%;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numPr>
          <w:ilvl w:val="0"/>
          <w:numId w:val="22"/>
        </w:numPr>
        <w:ind w:left="836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ГУЗ «Чаплыгинская РБ» -70,6%.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План по диспансеризации детей-сирот, усыновленных и принятых под опеку на 1 полугодие 2025 года составил 835 чело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век. Фактически осмотрено 101% от утвержденного плана или 844 человека на сумму 3,8 млн. рублей. Из 23 медицинских организаций, проводивших диспансеризацию детей-сирот, усыновленных и принятых под опеку, не выполнили установленный план - 4 МО, в том числе: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numPr>
          <w:ilvl w:val="0"/>
          <w:numId w:val="23"/>
        </w:numPr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ГУЗ «Добровская  РБ» - 88,9%;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numPr>
          <w:ilvl w:val="0"/>
          <w:numId w:val="23"/>
        </w:numPr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ГУЗ «Задонская ЦРБ» - 94,2%;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numPr>
          <w:ilvl w:val="0"/>
          <w:numId w:val="23"/>
        </w:numPr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ГУЗ «Лебедянская ЦРБ» (Краснинский район) - 4,2%;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numPr>
          <w:ilvl w:val="0"/>
          <w:numId w:val="23"/>
        </w:numPr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ГУЗ «Чаплыгинская РБ» - 5,6%.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План по диспансеризации детей-сирот, пребывающих в стационарных учреждениях на январь-июнь 2025 года составил 712 человек. Фактически обследованы 682 ребенка, что составило 96% от утвержденного плана, на сумму 3,2 млн. рублей.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83"/>
        <w:ind w:firstLine="709"/>
        <w:jc w:val="both"/>
        <w:spacing w:line="282" w:lineRule="atLeast"/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Число пациентов, подлежащих диспансерному наблюдению в отчетном периоде составило 131 402  челове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ка. Получили услуги по диспансерному наблюдению 129 747 человек или 99% от планового показателя. За первое полугодие 2025 г. проведено 160 496 комплексных посещений по диспансерному наблюдению, что составляет 111%  от планового объема (144 398 посещений).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54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 первое полугодие 2025 года медицинскими организациями Липецкой области оказана медицинская помощь 16 836 иногородним пациентам на общую сумму 229,6 млн. рублей, которая оплачена по предъявленным счетам и реестрам в полном объеме.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Медицинскими организациями Липецкой области лицам, застрахованным на других территориях РФ, оказана медицинская помощь по следующим основным профилям: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акушерство и гинекология – 2 141 случай на сумму 14,8 млн. рублей;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кардиология – 601 случай на сумму 15,0 млн. рублей;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нефрология – 745 случаев на сумму 6,5 млн. рублей;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нейрохирургия – 166 случаев на сумму 4,3 млн. рублей;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неврология – 1 389 случаев на сумму 14,5 млн. рублей;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онкология - 450 случаев на сумму 13,4 млн. рублей (в т.ч. химиотерапия – 118 случаев на сумму 8,5 млн. рублей);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офтальмология – 4 263 случаев на сумму 60,5 млн. рублей;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травматология и ортопедия – 1 637 случая на сумму 10,1 млн. рублей.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 первое полугодие 2025 года территориальными фондами ОМС других субъектов РФ предъявлено счетов и реестров за оказанную медицинскую помощь 15 269 пациентам, застрахованным на территории Липецкой области, на сумму 479,1 млн. рублей, в том чис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ле по высокотехнологичной медицинской помощи – 83,9 млн. рублей. Оплачено за первое полугодие 2025 года с учетом сложившегося остатка на 01.01.2025 года (6,9 млн. рублей) – 486,0 млн. рублей. Задолженность по оплате счетов, на 01.07.2025 года –отсутствует.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Медицинскими организациями других субъектов Российской Федерации, пациентам, застрахованным на территории Липецкой области, медицинская помощь оказана по следующим основным профилям: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акушерство и гинекология – 1 655 случаев на сумму 15,5 млн. рублей (в т.ч. ЭКО - 37 случаев на сумму 4,0 млн. рублей);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инфекционные болезни - 433 случая на сумму 7,9 млн. рублей;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кардиология – 703 случая на сумму 17,1 млн. рублей;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медицинская реабилитация – 178 случаев на сумму 12,0 млн. рублей;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неврология – 734 случая на сумму 16,1 млн. рублей;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нейрохирургия – 261 случай на сумму 12,6 млн. рублей;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онкология – 6 145 случаев на сумму 168,9 млн. рублей (в т.ч. -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химиотерапия – 336 случаев на сумму 94,0 млн. рублей);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офтальмология – 1 247 случаев на сумму 6,5 млн. рублей;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сердечно-сосудистая хирургия - 246 случаев на сумму 22,9 млн. рублей;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травматология и ортопедия – 1 597 случаев на сумму 63,7 млн. рублей;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урология – 379 случаев на сумму 5,8 млн. рублей.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4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  <w:highlight w:val="green"/>
          <w:lang w:eastAsia="ru-RU"/>
        </w:rPr>
      </w:pPr>
      <w:r>
        <w:rPr>
          <w:sz w:val="28"/>
          <w:szCs w:val="28"/>
          <w:highlight w:val="green"/>
          <w:lang w:eastAsia="ru-RU"/>
        </w:rPr>
      </w:r>
      <w:r>
        <w:rPr>
          <w:sz w:val="28"/>
          <w:szCs w:val="28"/>
          <w:highlight w:val="green"/>
          <w:lang w:eastAsia="ru-RU"/>
        </w:rPr>
      </w:r>
      <w:r>
        <w:rPr>
          <w:sz w:val="28"/>
          <w:szCs w:val="28"/>
          <w:highlight w:val="green"/>
          <w:lang w:eastAsia="ru-RU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Расходы медицинских организаций за 1 полугодие 2025 года составили 10 476,2 млн. рублей, что выше показателя прошлого года на 17,8% или 1 581,9 млн. рублей (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8 894,3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млн.руб.), в том числе: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на оплату труда с начислениями –7 412,7 млн. рублей, что составляет 122,1% от уровня прошлого года (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6 068,6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млн. рублей);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оплата за медикаменты – 1 676,2 млн. рублей, что выше на 7,6% уровня прошлого года (1 557,4 млн. рублей);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оплата за продукты питания – 133,1 млн. рублей, что выше показателя прошлого года на 29,0% (103,2 млн. рублей);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оплата коммунальных услуг – 340,7 млн. рублей, что выше уровня прошлого года на 4,0% (327,7 млн. рублей).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Наибо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льшую долю в структуре расходов занимают расходы на заработную плату с начислениями – 70,8%, при этом темпы роста данных расходов в сравнении с предыдущим периодом не превышают темпы роста по другим видам расходов (рост расходов на продукты питания 29,0%).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4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Средняя заработная плата работников государственных медицинских организаций Липецкой области в системе ОМС за 1 полугодие 2025 года составила 56,83 тыс. рублей, что на 18,5% выше аналогичного показателя прошлого года (47,94 тыс. рублей) в том числе: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по амбулаторно-поликлиническому звену средняя зарплата медицинских работников по сравнению с аналогичным периодом прошлого года возросла на 16,5% и составила 59,22 тыс. рублей (1 полугодие 2024 года – 50,84 тыс. рублей);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в стационарном звене рост средней зарплаты медицинских работников составил 21,9 % - 73,86 тыс. рублей (1 полугодие 2024 года – 60,61 тыс. рублей);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в подразделениях скорой медицинской помощи средняя зарплата медицинских работников из средств ОМС составила 67,24 тыс. рублей, рост – 6,3 % (январь-июнь 2024 года – 63,26 тыс. рублей).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Средняя заработная плата по категориям персонала в отчетном периоде по сравнению с аналогичным периодом прошлого года сложилась следующим образом: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по врачебным кадрам средняя зарплата увеличилась на 15,6% и составила 101,53 тыс. рублей (87,8 тыс. рублей в 1 полугодии 2024 года);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по среднему медицинскому персоналу рост средней зарплаты составил 19,3%, заработная плата составила 55,99 тыс. рублей (в 1 полугодии 2024 года - 46,92 тыс. рублей);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по младшему медицинскому персоналу средняя зарплата увеличилась на 19,5% и составила 52,15 тыс. рублей (показатель в 1 полугодии 2024 года был равен 43,63 тыс. рублей 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по прочему персоналу рост средней зарплаты составил 18%, ее значение достигло уровня 35,43 тыс. рублей (в сравнении с 1 полугодием 2024 года данный показатель составлял 30,03 тыс. рублей);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по АУП средняя зарплата увеличилась на 16,5 % и составила 87,95 тыс. рублей (75,48 тыс. рублей в 1 полугодии 2024 года).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Во исполнение пункта 7.1 части 2 статьи 20 Федерального закона № 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326-Ф3 «Об обязательном медицинском страховании», Правил использования средств нормированного страхового запаса, в 1 полугодии 2025 года утвержден План мероприятий по организации дополнительного профессионального образования медицинских работников по прогр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аммам повышения квалификации, а также по приобретению и проведению ремонта медицинского оборудования на сумму 25 510,0 тыс. рублей, в том числе на дополнительное профессиональное образование медицинских работников – 1 207,1 тыс. рублей, на проведение ремон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та медицинского оборудования – 7 467,8 тыс. рублей, на приобретение медицинского оборудования – 16 835,1 тыс. рублей. Подписаны соглашения с 13 медицинскими организациями Липецкой области о финансовом обеспечении мероприятий по организации дополнительного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 целью реализации Федерального закона № 326-ФЗ «Об обязательном медицинском страховании в Российской Федерации» (пункта 4 части 6 статьи 26) для софинансирования расходов медицинских организаци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й на оплату труда врачей и среднего медицинского персонала, распоряжением Правительства Российской Федерации для Липецкой области в 2025 году предусмотрено 25 414,1 тыс. рублей. В течение 1 полугодия 2025 года в медицинские организации в соответствии с их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заявками было направлено 8 767,3 тыс. рублей. Из средств нормированного страхового запаса в 1 полугодии 2025 года осуществлено финансирование заработной платы 135 медицинских работников, (в том числе 65 врачей и 70 человек среднего медицинского персонала).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82"/>
        <w:ind w:firstLine="708"/>
        <w:jc w:val="both"/>
        <w:spacing w:beforeAutospacing="0" w:after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На 2025 год распоряжением Правительства РФ от 07.12.2024 г. №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3609-р на </w:t>
      </w:r>
      <w:r>
        <w:rPr>
          <w:sz w:val="28"/>
          <w:szCs w:val="28"/>
        </w:rPr>
        <w:t xml:space="preserve">реа</w:t>
      </w:r>
      <w:r>
        <w:rPr>
          <w:sz w:val="28"/>
          <w:szCs w:val="28"/>
        </w:rPr>
        <w:t xml:space="preserve">лизацию мероприятий по осуществлению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выделено 270,7 тыс. рублей. За </w:t>
      </w:r>
      <w:r>
        <w:rPr>
          <w:sz w:val="28"/>
          <w:szCs w:val="28"/>
          <w:lang w:val="en-US"/>
        </w:rPr>
        <w:t xml:space="preserve">I</w:t>
      </w:r>
      <w:r>
        <w:rPr>
          <w:sz w:val="28"/>
          <w:szCs w:val="28"/>
        </w:rPr>
        <w:t xml:space="preserve"> полугодие 2025 года медицинскими организациями области освоено 235,2 тыс. рублей. (87%) - 141 случай.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29.11.2010 № 326-ФЗ «Об обязательном медицинском страховании в Российской Федерации» и действующими нормативными документами в обл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асти обязательного медицинского страхования, ТФОМС Липецкой области осуществляет контроль использования финансовых средств обязательного медицинского страхования медицинскими организациями и страховыми медицинскими организациями путем проведения проверок.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Основанием для проведения проверки являлся приказ директора ТФОМС Липецкой области, который определял тему проверки, проверяемый период, руководителя комиссии, состав комиссии, сроки проведения проверки, форму проверки.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план проверок на 2025 год включены 46 медицинских организаций и 2 страховые медицинские организации.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1 полугодии 2025 года проведено 32 проверки, в том числе: в медицинских организациях - 25 проверок, из них: 20 плановых проверок, 5 внеплановых тематических проверок в связи с реорганизацией медицинских организаций и прекращением де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йствия договора на оказание и оплату медицинской помощи по обязательному медицинскому страхованию; в страховых медицинских организациях 2 плановые комплексные проверки, и 5 внеплановых проверок. В страховых медицинских организациях 3 проверки осуществлялис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ь в связи с обращением страховой медицинской организации в территориальный фонд с заявкой на предоставление недостающих средств для оплаты медицинской помощи в рамках территориальной программы обязательного медицинского страхования, 2 проверки по вопросам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bidi="en-US"/>
        </w:rPr>
        <w:t xml:space="preserve">порядка выдачи полисов ОМС и корректности ведения регионального сегмента единого регистра застрахованных лиц.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Остаток невосстановленных средств ОМС по состоянию на 01.01.2025 составил 4 376,7 тыс. рублей.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проверок за 6 месяцев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2025 года </w:t>
      </w:r>
      <w:r>
        <w:rPr>
          <w:rFonts w:ascii="Times New Roman" w:hAnsi="Times New Roman" w:cs="Times New Roman"/>
          <w:sz w:val="28"/>
          <w:szCs w:val="28"/>
        </w:rPr>
        <w:t xml:space="preserve">в медицинских организациях  выявлено нецелевое использование средств обязательного медицинского страхования на сумму 4 886,6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 рублей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i/>
          <w:iCs/>
        </w:rPr>
      </w:pPr>
      <w:r>
        <w:rPr>
          <w:rFonts w:ascii="Times New Roman" w:hAnsi="Times New Roman" w:eastAsia="Times New Roman" w:cs="Times New Roman"/>
          <w:b/>
          <w:sz w:val="28"/>
          <w:szCs w:val="20"/>
          <w:lang w:eastAsia="zh-CN"/>
        </w:rPr>
        <w:t xml:space="preserve"> Оплата расходов, не включенных в структуру тарифа на оплату медицинской помощи в рамках территориальной программы ОМС - 2 564,1 тыс. рублей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zh-CN"/>
        </w:rPr>
        <w:t xml:space="preserve"> или 52,5 % от выявленной суммы нецелевого использования средств ОМС:</w:t>
      </w:r>
      <w:r>
        <w:rPr>
          <w:i/>
          <w:iCs/>
        </w:rPr>
      </w:r>
      <w:r>
        <w:rPr>
          <w:i/>
          <w:iCs/>
        </w:rPr>
      </w:r>
    </w:p>
    <w:p>
      <w:pPr>
        <w:numPr>
          <w:ilvl w:val="0"/>
          <w:numId w:val="3"/>
        </w:numPr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0"/>
          <w:lang w:eastAsia="zh-CN"/>
        </w:rPr>
        <w:t xml:space="preserve"> 156,4 тыс. рублей - обучение по темам, не связанным с оказанием медицинской помощи в рамках территориальной программы ОМС </w:t>
      </w:r>
      <w:r>
        <w:rPr>
          <w:rFonts w:ascii="Times New Roman" w:hAnsi="Times New Roman" w:eastAsia="Times New Roman" w:cs="Times New Roman"/>
          <w:sz w:val="28"/>
          <w:szCs w:val="20"/>
        </w:rPr>
      </w:r>
      <w:r>
        <w:rPr>
          <w:rFonts w:ascii="Times New Roman" w:hAnsi="Times New Roman" w:eastAsia="Times New Roman" w:cs="Times New Roman"/>
          <w:sz w:val="28"/>
          <w:szCs w:val="20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  <w:t xml:space="preserve">ГУЗ «Задонская ЦРБ» - 20,7 тыс. рублей; </w:t>
      </w:r>
      <w:r>
        <w:rPr>
          <w:rFonts w:ascii="Times New Roman" w:hAnsi="Times New Roman" w:eastAsia="Times New Roman" w:cs="Times New Roman"/>
          <w:sz w:val="28"/>
          <w:szCs w:val="20"/>
        </w:rPr>
      </w:r>
      <w:r>
        <w:rPr>
          <w:rFonts w:ascii="Times New Roman" w:hAnsi="Times New Roman" w:eastAsia="Times New Roman" w:cs="Times New Roman"/>
          <w:sz w:val="28"/>
          <w:szCs w:val="20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color w:val="000000"/>
          <w:sz w:val="28"/>
          <w:szCs w:val="20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  <w:t xml:space="preserve">ООО «ДЦ НЕФРОС ЛИПЕЦК» -73,6 тыс. рублей;</w:t>
      </w:r>
      <w:r>
        <w:rPr>
          <w:rFonts w:ascii="Times New Roman" w:hAnsi="Times New Roman" w:eastAsia="Times New Roman" w:cs="Times New Roman"/>
          <w:color w:val="000000"/>
          <w:sz w:val="28"/>
          <w:szCs w:val="20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0"/>
        </w:rPr>
      </w:r>
      <w:r>
        <w:rPr>
          <w:rFonts w:ascii="Times New Roman" w:hAnsi="Times New Roman" w:eastAsia="Times New Roman" w:cs="Times New Roman"/>
          <w:color w:val="000000"/>
          <w:sz w:val="28"/>
          <w:szCs w:val="20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color w:val="000000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0"/>
          <w:lang w:eastAsia="zh-CN"/>
        </w:rPr>
        <w:tab/>
        <w:t xml:space="preserve">ГУЗ «Елецкая РБ» - 59,1 тыс. рублей; </w:t>
      </w:r>
      <w:r>
        <w:rPr>
          <w:rFonts w:ascii="Times New Roman" w:hAnsi="Times New Roman" w:eastAsia="Times New Roman" w:cs="Times New Roman"/>
          <w:color w:val="000000"/>
          <w:sz w:val="28"/>
          <w:szCs w:val="20"/>
        </w:rPr>
      </w:r>
      <w:r>
        <w:rPr>
          <w:rFonts w:ascii="Times New Roman" w:hAnsi="Times New Roman" w:eastAsia="Times New Roman" w:cs="Times New Roman"/>
          <w:color w:val="000000"/>
          <w:sz w:val="28"/>
          <w:szCs w:val="20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highlight w:val="yellow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0"/>
          <w:lang w:eastAsia="zh-CN"/>
        </w:rPr>
        <w:tab/>
        <w:t xml:space="preserve">ГУЗ «Тербунская ЦРБ — 3,0 тыс. рублей.</w:t>
      </w:r>
      <w:r>
        <w:rPr>
          <w:highlight w:val="yellow"/>
        </w:rPr>
      </w:r>
      <w:r>
        <w:rPr>
          <w:highlight w:val="yellow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</w:pPr>
      <w:r/>
      <w:r/>
    </w:p>
    <w:p>
      <w:pPr>
        <w:numPr>
          <w:ilvl w:val="0"/>
          <w:numId w:val="4"/>
        </w:numPr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color w:val="000000"/>
          <w:sz w:val="28"/>
          <w:szCs w:val="20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0"/>
          <w:lang w:eastAsia="zh-CN"/>
        </w:rPr>
        <w:t xml:space="preserve">1 302,6 тыс. рублей - приобретение оборудования стоимостью свыше 100,0 тыс. рублей за единицу</w:t>
      </w:r>
      <w:r>
        <w:rPr>
          <w:rFonts w:ascii="Times New Roman" w:hAnsi="Times New Roman" w:eastAsia="Times New Roman" w:cs="Times New Roman"/>
          <w:color w:val="000000"/>
          <w:sz w:val="28"/>
          <w:szCs w:val="20"/>
        </w:rPr>
      </w:r>
      <w:r>
        <w:rPr>
          <w:rFonts w:ascii="Times New Roman" w:hAnsi="Times New Roman" w:eastAsia="Times New Roman" w:cs="Times New Roman"/>
          <w:color w:val="000000"/>
          <w:sz w:val="28"/>
          <w:szCs w:val="20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0"/>
          <w:lang w:eastAsia="zh-CN"/>
        </w:rPr>
        <w:tab/>
        <w:t xml:space="preserve"> ГУЗ «ЦСМПиМК Липецкой области» - 1 302,6 тыс. рублей</w:t>
      </w:r>
      <w:r>
        <w:rPr>
          <w:rFonts w:ascii="Times New Roman" w:hAnsi="Times New Roman" w:eastAsia="Times New Roman" w:cs="Times New Roman"/>
          <w:sz w:val="28"/>
          <w:szCs w:val="20"/>
        </w:rPr>
      </w:r>
      <w:r>
        <w:rPr>
          <w:rFonts w:ascii="Times New Roman" w:hAnsi="Times New Roman" w:eastAsia="Times New Roman" w:cs="Times New Roman"/>
          <w:sz w:val="28"/>
          <w:szCs w:val="20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  <w:highlight w:val="yellow"/>
        </w:rPr>
      </w:pPr>
      <w:r>
        <w:rPr>
          <w:rFonts w:ascii="Times New Roman" w:hAnsi="Times New Roman" w:eastAsia="Times New Roman" w:cs="Times New Roman"/>
          <w:sz w:val="28"/>
          <w:szCs w:val="20"/>
          <w:highlight w:val="yellow"/>
        </w:rPr>
      </w:r>
      <w:r>
        <w:rPr>
          <w:rFonts w:ascii="Times New Roman" w:hAnsi="Times New Roman" w:eastAsia="Times New Roman" w:cs="Times New Roman"/>
          <w:sz w:val="28"/>
          <w:szCs w:val="20"/>
          <w:highlight w:val="yellow"/>
        </w:rPr>
      </w:r>
      <w:r>
        <w:rPr>
          <w:rFonts w:ascii="Times New Roman" w:hAnsi="Times New Roman" w:eastAsia="Times New Roman" w:cs="Times New Roman"/>
          <w:sz w:val="28"/>
          <w:szCs w:val="20"/>
          <w:highlight w:val="yellow"/>
        </w:rPr>
      </w:r>
    </w:p>
    <w:p>
      <w:pPr>
        <w:numPr>
          <w:ilvl w:val="0"/>
          <w:numId w:val="5"/>
        </w:numPr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Cs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0"/>
          <w:lang w:eastAsia="zh-CN"/>
        </w:rPr>
        <w:t xml:space="preserve">26,6 тыс. рублей - оплата медицинских осмотра при приеме на работу</w:t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</w:p>
    <w:p>
      <w:pPr>
        <w:ind w:left="1418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  <w:t xml:space="preserve"> ГУЗ «ЛОКИБ» - 26,6 тыс. рублей.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  <w:highlight w:val="yellow"/>
        </w:rPr>
      </w:pPr>
      <w:r>
        <w:rPr>
          <w:rFonts w:ascii="Times New Roman" w:hAnsi="Times New Roman" w:eastAsia="Times New Roman" w:cs="Times New Roman"/>
          <w:sz w:val="28"/>
          <w:szCs w:val="20"/>
          <w:highlight w:val="yellow"/>
        </w:rPr>
      </w:r>
      <w:r>
        <w:rPr>
          <w:rFonts w:ascii="Times New Roman" w:hAnsi="Times New Roman" w:eastAsia="Times New Roman" w:cs="Times New Roman"/>
          <w:sz w:val="28"/>
          <w:szCs w:val="20"/>
          <w:highlight w:val="yellow"/>
        </w:rPr>
      </w:r>
      <w:r>
        <w:rPr>
          <w:rFonts w:ascii="Times New Roman" w:hAnsi="Times New Roman" w:eastAsia="Times New Roman" w:cs="Times New Roman"/>
          <w:sz w:val="28"/>
          <w:szCs w:val="20"/>
          <w:highlight w:val="yellow"/>
        </w:rPr>
      </w:r>
    </w:p>
    <w:p>
      <w:pPr>
        <w:numPr>
          <w:ilvl w:val="0"/>
          <w:numId w:val="6"/>
        </w:numPr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0"/>
          <w:lang w:eastAsia="zh-CN"/>
        </w:rPr>
        <w:t xml:space="preserve"> 115,9 тыс. рублей - страхование гражданской ответственности опасных объектов</w:t>
      </w:r>
      <w:r>
        <w:rPr>
          <w:rFonts w:ascii="Times New Roman" w:hAnsi="Times New Roman" w:eastAsia="Times New Roman" w:cs="Times New Roman"/>
          <w:sz w:val="28"/>
          <w:szCs w:val="20"/>
        </w:rPr>
      </w:r>
      <w:r>
        <w:rPr>
          <w:rFonts w:ascii="Times New Roman" w:hAnsi="Times New Roman" w:eastAsia="Times New Roman" w:cs="Times New Roman"/>
          <w:sz w:val="28"/>
          <w:szCs w:val="20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  <w:t xml:space="preserve">ГУЗ «Липецкая ГБ № 4 «Липецк -Мед»- 21,4 тыс. рублей; </w:t>
      </w:r>
      <w:r>
        <w:rPr>
          <w:rFonts w:ascii="Times New Roman" w:hAnsi="Times New Roman" w:eastAsia="Times New Roman" w:cs="Times New Roman"/>
          <w:sz w:val="28"/>
          <w:szCs w:val="20"/>
        </w:rPr>
      </w:r>
      <w:r>
        <w:rPr>
          <w:rFonts w:ascii="Times New Roman" w:hAnsi="Times New Roman" w:eastAsia="Times New Roman" w:cs="Times New Roman"/>
          <w:sz w:val="28"/>
          <w:szCs w:val="20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  <w:t xml:space="preserve">ГУЗ «Задонская ЦРБ» - 12,0 тыс. рублей; </w:t>
      </w:r>
      <w:r>
        <w:rPr>
          <w:rFonts w:ascii="Times New Roman" w:hAnsi="Times New Roman" w:eastAsia="Times New Roman" w:cs="Times New Roman"/>
          <w:sz w:val="28"/>
          <w:szCs w:val="20"/>
        </w:rPr>
      </w:r>
      <w:r>
        <w:rPr>
          <w:rFonts w:ascii="Times New Roman" w:hAnsi="Times New Roman" w:eastAsia="Times New Roman" w:cs="Times New Roman"/>
          <w:sz w:val="28"/>
          <w:szCs w:val="20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  <w:t xml:space="preserve">ГУЗ «Областная детская больница» - 74,0 тыс. рублей; </w:t>
      </w:r>
      <w:r>
        <w:rPr>
          <w:rFonts w:ascii="Times New Roman" w:hAnsi="Times New Roman" w:eastAsia="Times New Roman" w:cs="Times New Roman"/>
          <w:sz w:val="28"/>
          <w:szCs w:val="20"/>
        </w:rPr>
      </w:r>
      <w:r>
        <w:rPr>
          <w:rFonts w:ascii="Times New Roman" w:hAnsi="Times New Roman" w:eastAsia="Times New Roman" w:cs="Times New Roman"/>
          <w:sz w:val="28"/>
          <w:szCs w:val="20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  <w:lang w:eastAsia="zh-CN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  <w:t xml:space="preserve">Г</w:t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 xml:space="preserve">УЗ «Добринская ЦРБ» - 8,5 тыс. рублей.</w:t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  <w:lang w:eastAsia="zh-CN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zh-CN"/>
        </w:rPr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</w:r>
    </w:p>
    <w:p>
      <w:pPr>
        <w:numPr>
          <w:ilvl w:val="0"/>
          <w:numId w:val="7"/>
        </w:numPr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Cs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0"/>
          <w:lang w:eastAsia="zh-CN"/>
        </w:rPr>
        <w:t xml:space="preserve"> 602,1 тыс. рублей - оплата труда специалиста по социальной работе </w:t>
      </w:r>
      <w:r>
        <w:rPr>
          <w:rFonts w:ascii="Times New Roman" w:hAnsi="Times New Roman" w:eastAsia="Times New Roman" w:cs="Times New Roman"/>
          <w:i/>
          <w:iCs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</w:p>
    <w:p>
      <w:pPr>
        <w:ind w:left="1418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  <w:t xml:space="preserve">ГУЗ «Елецкая городская больница № 2 - 76,6 тыс. рублей;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  <w:t xml:space="preserve">ГУЗ «Липецкая ГБ № 4 «Липецк -Мед»- 233,5 тыс. рублей;</w:t>
      </w:r>
      <w:r>
        <w:rPr>
          <w:rFonts w:ascii="Times New Roman" w:hAnsi="Times New Roman" w:eastAsia="Times New Roman" w:cs="Times New Roman"/>
          <w:sz w:val="28"/>
          <w:szCs w:val="20"/>
        </w:rPr>
      </w:r>
      <w:r>
        <w:rPr>
          <w:rFonts w:ascii="Times New Roman" w:hAnsi="Times New Roman" w:eastAsia="Times New Roman" w:cs="Times New Roman"/>
          <w:sz w:val="28"/>
          <w:szCs w:val="20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  <w:shd w:val="clear" w:color="auto" w:fill="ffff00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  <w:t xml:space="preserve">ГУЗ «Задонская ЦРБ» - 190,1 тыс. рублей; </w:t>
      </w:r>
      <w:r>
        <w:rPr>
          <w:rFonts w:ascii="Times New Roman" w:hAnsi="Times New Roman" w:eastAsia="Times New Roman" w:cs="Times New Roman"/>
          <w:sz w:val="28"/>
          <w:szCs w:val="20"/>
          <w:shd w:val="clear" w:color="auto" w:fill="ffff00"/>
        </w:rPr>
      </w:r>
      <w:r>
        <w:rPr>
          <w:rFonts w:ascii="Times New Roman" w:hAnsi="Times New Roman" w:eastAsia="Times New Roman" w:cs="Times New Roman"/>
          <w:sz w:val="28"/>
          <w:szCs w:val="20"/>
          <w:shd w:val="clear" w:color="auto" w:fill="ffff00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  <w:lang w:eastAsia="zh-CN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  <w:t xml:space="preserve">ГУЗ «Добринская ЦРБ» - 101,9 тыс. рублей.</w:t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  <w:highlight w:val="yellow"/>
        </w:rPr>
      </w:pPr>
      <w:r>
        <w:rPr>
          <w:rFonts w:ascii="Times New Roman" w:hAnsi="Times New Roman" w:eastAsia="Times New Roman" w:cs="Times New Roman"/>
          <w:sz w:val="28"/>
          <w:szCs w:val="20"/>
          <w:highlight w:val="yellow"/>
        </w:rPr>
      </w:r>
      <w:r>
        <w:rPr>
          <w:rFonts w:ascii="Times New Roman" w:hAnsi="Times New Roman" w:eastAsia="Times New Roman" w:cs="Times New Roman"/>
          <w:sz w:val="28"/>
          <w:szCs w:val="20"/>
          <w:highlight w:val="yellow"/>
        </w:rPr>
      </w:r>
      <w:r>
        <w:rPr>
          <w:rFonts w:ascii="Times New Roman" w:hAnsi="Times New Roman" w:eastAsia="Times New Roman" w:cs="Times New Roman"/>
          <w:sz w:val="28"/>
          <w:szCs w:val="20"/>
          <w:highlight w:val="yellow"/>
        </w:rPr>
      </w:r>
    </w:p>
    <w:p>
      <w:pPr>
        <w:numPr>
          <w:ilvl w:val="0"/>
          <w:numId w:val="8"/>
        </w:numPr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0"/>
          <w:lang w:eastAsia="zh-CN"/>
        </w:rPr>
        <w:t xml:space="preserve">50,8 тыс. рублей - доплаты за лечение ВИЧ инфицированных граждан</w:t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1418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  <w:t xml:space="preserve">ГУЗ «ЛОКИБ» - 50,8 тыс. рублей.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  <w:highlight w:val="yellow"/>
        </w:rPr>
      </w:pPr>
      <w:r>
        <w:rPr>
          <w:rFonts w:ascii="Times New Roman" w:hAnsi="Times New Roman" w:eastAsia="Times New Roman" w:cs="Times New Roman"/>
          <w:sz w:val="28"/>
          <w:szCs w:val="20"/>
          <w:highlight w:val="yellow"/>
        </w:rPr>
      </w:r>
      <w:r>
        <w:rPr>
          <w:rFonts w:ascii="Times New Roman" w:hAnsi="Times New Roman" w:eastAsia="Times New Roman" w:cs="Times New Roman"/>
          <w:sz w:val="28"/>
          <w:szCs w:val="20"/>
          <w:highlight w:val="yellow"/>
        </w:rPr>
      </w:r>
      <w:r>
        <w:rPr>
          <w:rFonts w:ascii="Times New Roman" w:hAnsi="Times New Roman" w:eastAsia="Times New Roman" w:cs="Times New Roman"/>
          <w:sz w:val="28"/>
          <w:szCs w:val="20"/>
          <w:highlight w:val="yellow"/>
        </w:rPr>
      </w:r>
    </w:p>
    <w:p>
      <w:pPr>
        <w:numPr>
          <w:ilvl w:val="0"/>
          <w:numId w:val="8"/>
        </w:numPr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0"/>
          <w:lang w:eastAsia="zh-CN"/>
        </w:rPr>
        <w:t xml:space="preserve">64,2 тыс. рублей - оплата пени за несвоевременную  перечисление страховых взносов и налогов, исполнение гражданско-правовых обязательств</w:t>
      </w:r>
      <w:r>
        <w:rPr>
          <w:rFonts w:ascii="Times New Roman" w:hAnsi="Times New Roman" w:eastAsia="Times New Roman" w:cs="Times New Roman"/>
          <w:sz w:val="28"/>
          <w:szCs w:val="20"/>
        </w:rPr>
      </w:r>
      <w:r>
        <w:rPr>
          <w:rFonts w:ascii="Times New Roman" w:hAnsi="Times New Roman" w:eastAsia="Times New Roman" w:cs="Times New Roman"/>
          <w:sz w:val="28"/>
          <w:szCs w:val="20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  <w:t xml:space="preserve">ООО «ДЦ НЕФРОС ЛИПЕЦК» - 19,2 тыс. рублей; </w:t>
      </w:r>
      <w:r>
        <w:rPr>
          <w:rFonts w:ascii="Times New Roman" w:hAnsi="Times New Roman" w:eastAsia="Times New Roman" w:cs="Times New Roman"/>
          <w:sz w:val="28"/>
          <w:szCs w:val="20"/>
        </w:rPr>
      </w:r>
      <w:r>
        <w:rPr>
          <w:rFonts w:ascii="Times New Roman" w:hAnsi="Times New Roman" w:eastAsia="Times New Roman" w:cs="Times New Roman"/>
          <w:sz w:val="28"/>
          <w:szCs w:val="20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  <w:t xml:space="preserve">ГУЗ «Тербунская ЦРБ» - 45,0 тыс. рублей.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79"/>
        <w:numPr>
          <w:ilvl w:val="0"/>
          <w:numId w:val="9"/>
        </w:numPr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0"/>
          <w:lang w:eastAsia="zh-CN"/>
        </w:rPr>
        <w:t xml:space="preserve">55,7 тыс. руб. - оплата услуг, не связанных с оказанием медицинской помощи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-284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  <w:t xml:space="preserve">ООО «МЦ ЖИЗНЬ» - 16,2 тыс. рублей; </w:t>
      </w:r>
      <w:r>
        <w:rPr>
          <w:rFonts w:ascii="Times New Roman" w:hAnsi="Times New Roman" w:eastAsia="Times New Roman" w:cs="Times New Roman"/>
          <w:sz w:val="28"/>
          <w:szCs w:val="20"/>
        </w:rPr>
      </w:r>
      <w:r>
        <w:rPr>
          <w:rFonts w:ascii="Times New Roman" w:hAnsi="Times New Roman" w:eastAsia="Times New Roman" w:cs="Times New Roman"/>
          <w:sz w:val="28"/>
          <w:szCs w:val="20"/>
        </w:rPr>
      </w:r>
    </w:p>
    <w:p>
      <w:pPr>
        <w:ind w:left="-284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  <w:t xml:space="preserve">ГУЗ «Липецкая ГБ №4 «Липецк -Мед» - 4,9 тыс. рублей; </w:t>
      </w:r>
      <w:r>
        <w:rPr>
          <w:rFonts w:ascii="Times New Roman" w:hAnsi="Times New Roman" w:eastAsia="Times New Roman" w:cs="Times New Roman"/>
          <w:sz w:val="28"/>
          <w:szCs w:val="20"/>
        </w:rPr>
      </w:r>
      <w:r>
        <w:rPr>
          <w:rFonts w:ascii="Times New Roman" w:hAnsi="Times New Roman" w:eastAsia="Times New Roman" w:cs="Times New Roman"/>
          <w:sz w:val="28"/>
          <w:szCs w:val="20"/>
        </w:rPr>
      </w:r>
    </w:p>
    <w:p>
      <w:pPr>
        <w:ind w:left="-284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  <w:t xml:space="preserve">ГУЗ «Елецкая РБ» - 34,6 тыс. рублей.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-284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79"/>
        <w:numPr>
          <w:ilvl w:val="0"/>
          <w:numId w:val="10"/>
        </w:numPr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0"/>
          <w:lang w:eastAsia="zh-CN"/>
        </w:rPr>
        <w:t xml:space="preserve"> 50,0 тыс. рублей - спил деревьев </w:t>
      </w: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</w:p>
    <w:p>
      <w:pPr>
        <w:ind w:left="1483"/>
        <w:jc w:val="both"/>
        <w:spacing w:after="0" w:line="240" w:lineRule="auto"/>
        <w:tabs>
          <w:tab w:val="left" w:pos="426" w:leader="none"/>
        </w:tabs>
      </w:pPr>
      <w:r>
        <w:rPr>
          <w:rFonts w:ascii="Times New Roman" w:hAnsi="Times New Roman" w:eastAsia="Times New Roman" w:cs="Times New Roman"/>
          <w:color w:val="000000"/>
          <w:sz w:val="28"/>
          <w:szCs w:val="20"/>
          <w:lang w:eastAsia="zh-CN"/>
        </w:rPr>
        <w:tab/>
        <w:t xml:space="preserve">ГУЗ «Елецкая РБ» - 50 тыс. рублей.</w:t>
      </w:r>
      <w:r/>
    </w:p>
    <w:p>
      <w:pPr>
        <w:ind w:left="-284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i/>
          <w:iCs/>
          <w:color w:val="000000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0"/>
        </w:rPr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0"/>
        </w:rPr>
      </w:r>
    </w:p>
    <w:p>
      <w:pPr>
        <w:numPr>
          <w:ilvl w:val="0"/>
          <w:numId w:val="11"/>
        </w:numPr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i/>
          <w:iCs/>
          <w:color w:val="000000"/>
          <w:sz w:val="28"/>
          <w:szCs w:val="20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0"/>
          <w:lang w:eastAsia="zh-CN"/>
        </w:rPr>
        <w:t xml:space="preserve"> 13,0 тыс. рублей - расходы на погребение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0"/>
        </w:rPr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0"/>
        </w:rPr>
      </w:r>
    </w:p>
    <w:p>
      <w:pPr>
        <w:ind w:left="1135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0"/>
          <w:lang w:eastAsia="zh-CN"/>
        </w:rPr>
        <w:tab/>
        <w:t xml:space="preserve">ГУЗ «Елецкая РБ» - 13 тыс. рублей.</w:t>
      </w: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</w:p>
    <w:p>
      <w:pPr>
        <w:ind w:left="-284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i/>
          <w:iCs/>
          <w:color w:val="000000"/>
          <w:sz w:val="28"/>
          <w:szCs w:val="20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0"/>
        </w:rPr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0"/>
        </w:rPr>
      </w:r>
    </w:p>
    <w:p>
      <w:pPr>
        <w:numPr>
          <w:ilvl w:val="0"/>
          <w:numId w:val="12"/>
        </w:numPr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0"/>
          <w:lang w:eastAsia="zh-CN"/>
        </w:rPr>
        <w:t xml:space="preserve">126,8 тыс. рублей - работы капитального характера</w:t>
      </w: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</w:p>
    <w:p>
      <w:pPr>
        <w:ind w:left="1135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0"/>
          <w:lang w:eastAsia="zh-CN"/>
        </w:rPr>
        <w:t xml:space="preserve"> ГУЗ «Тербунская ЦРБ»</w:t>
      </w:r>
      <w: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- 126,8 тыс. рублей.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0"/>
          <w:lang w:eastAsia="zh-CN"/>
        </w:rPr>
        <w:t xml:space="preserve">Финансирование структурных подразделений медицинских организаций, финансируемых из иных источников - 214,2 тыс. рублей и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zh-CN"/>
        </w:rPr>
        <w:t xml:space="preserve">ли 4,4% от выявленной суммы нецелевого использования средств ОМС: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ilvl w:val="0"/>
          <w:numId w:val="13"/>
        </w:numPr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0"/>
          <w:lang w:eastAsia="zh-CN"/>
        </w:rPr>
        <w:t xml:space="preserve">214,2 тыс. рублей - оплата труда специалиста режимно- секретного кабинета</w:t>
      </w:r>
      <w:r>
        <w:rPr>
          <w:rFonts w:ascii="Times New Roman" w:hAnsi="Times New Roman" w:eastAsia="Times New Roman" w:cs="Times New Roman"/>
          <w:sz w:val="28"/>
          <w:szCs w:val="20"/>
        </w:rPr>
      </w:r>
      <w:r>
        <w:rPr>
          <w:rFonts w:ascii="Times New Roman" w:hAnsi="Times New Roman" w:eastAsia="Times New Roman" w:cs="Times New Roman"/>
          <w:sz w:val="28"/>
          <w:szCs w:val="20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</w:pP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  <w:t xml:space="preserve">ГУЗ «Липецкая ГБ №4 «Липецк -Мед» - 214,2 тыс. рублей.</w:t>
      </w:r>
      <w:r/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0"/>
          <w:lang w:eastAsia="zh-CN"/>
        </w:rPr>
        <w:t xml:space="preserve">Расходование средств обязательного медицинского страхования сверх норм, установленных соответствующими нормативными правовыми и правовыми актами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zh-CN"/>
        </w:rPr>
        <w:t xml:space="preserve"> - 21,6 тыс. рублей </w:t>
      </w:r>
      <w:r>
        <w:rPr>
          <w:rFonts w:ascii="Times New Roman" w:hAnsi="Times New Roman" w:eastAsia="Times New Roman" w:cs="Times New Roman"/>
          <w:b/>
          <w:sz w:val="28"/>
          <w:szCs w:val="20"/>
          <w:lang w:eastAsia="zh-CN"/>
        </w:rPr>
        <w:t xml:space="preserve">и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zh-CN"/>
        </w:rPr>
        <w:t xml:space="preserve">ли 0,4% от выявленной суммы нецелевого использования средств ОМС: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ilvl w:val="0"/>
          <w:numId w:val="14"/>
        </w:numPr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  <w:lang w:eastAsia="zh-CN"/>
        </w:rPr>
        <w:t xml:space="preserve">21,6  тыс. рублей - выплаты заработной платы с учетом начислений, произведенные с превышением установленных норм</w:t>
      </w:r>
      <w:r>
        <w:rPr>
          <w:rFonts w:ascii="Times New Roman" w:hAnsi="Times New Roman" w:eastAsia="Times New Roman" w:cs="Times New Roman"/>
          <w:sz w:val="28"/>
          <w:szCs w:val="20"/>
        </w:rPr>
      </w:r>
      <w:r>
        <w:rPr>
          <w:rFonts w:ascii="Times New Roman" w:hAnsi="Times New Roman" w:eastAsia="Times New Roman" w:cs="Times New Roman"/>
          <w:sz w:val="28"/>
          <w:szCs w:val="20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  <w:t xml:space="preserve">ГУЗ «Липецкая ГБ №4 «Липецк -Мед»</w:t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 xml:space="preserve"> - 21,6 тыс. рублей.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0"/>
          <w:lang w:eastAsia="zh-CN"/>
        </w:rPr>
        <w:t xml:space="preserve">Рас</w:t>
      </w:r>
      <w:r>
        <w:rPr>
          <w:rFonts w:ascii="Times New Roman" w:hAnsi="Times New Roman" w:eastAsia="Times New Roman" w:cs="Times New Roman"/>
          <w:b/>
          <w:sz w:val="28"/>
          <w:szCs w:val="20"/>
          <w:lang w:eastAsia="zh-CN"/>
        </w:rPr>
        <w:t xml:space="preserve">ходование средств обязательного медицинского страхования при отсутствии подтверждающих документов - 2 049,5 тыс. рублей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zh-CN"/>
        </w:rPr>
        <w:t xml:space="preserve">или 41,9% от выявленной суммы нецелевого использования средств</w:t>
      </w:r>
      <w:r>
        <w:rPr>
          <w:rFonts w:ascii="Times New Roman" w:hAnsi="Times New Roman" w:eastAsia="Times New Roman" w:cs="Times New Roman"/>
          <w:b/>
          <w:sz w:val="28"/>
          <w:szCs w:val="20"/>
          <w:lang w:eastAsia="zh-CN"/>
        </w:rPr>
        <w:t xml:space="preserve"> ОМС:</w:t>
      </w:r>
      <w:r>
        <w:rPr>
          <w:rFonts w:ascii="Times New Roman" w:hAnsi="Times New Roman" w:eastAsia="Times New Roman" w:cs="Times New Roman"/>
          <w:b/>
          <w:bCs/>
          <w:i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Cs/>
          <w:sz w:val="28"/>
          <w:szCs w:val="28"/>
        </w:rPr>
      </w:r>
    </w:p>
    <w:p>
      <w:pPr>
        <w:numPr>
          <w:ilvl w:val="0"/>
          <w:numId w:val="15"/>
        </w:numPr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color w:val="000000"/>
          <w:sz w:val="28"/>
          <w:szCs w:val="20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0"/>
          <w:lang w:eastAsia="zh-CN"/>
        </w:rPr>
        <w:t xml:space="preserve">1 882,3 тыс. рублей - выплата заработной платы с учетом начислений, при отсутствии  сертификата (аккредитации) специалиста</w:t>
      </w:r>
      <w:r>
        <w:rPr>
          <w:rFonts w:ascii="Times New Roman" w:hAnsi="Times New Roman" w:eastAsia="Times New Roman" w:cs="Times New Roman"/>
          <w:color w:val="000000"/>
          <w:sz w:val="28"/>
          <w:szCs w:val="20"/>
        </w:rPr>
      </w:r>
      <w:r>
        <w:rPr>
          <w:rFonts w:ascii="Times New Roman" w:hAnsi="Times New Roman" w:eastAsia="Times New Roman" w:cs="Times New Roman"/>
          <w:color w:val="000000"/>
          <w:sz w:val="28"/>
          <w:szCs w:val="20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color w:val="000000"/>
          <w:sz w:val="28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0"/>
          <w:lang w:eastAsia="zh-CN"/>
        </w:rPr>
        <w:tab/>
        <w:t xml:space="preserve">ГУЗ «Липецкая городская поликлиника №2» - 424,3 тыс. рублей; </w:t>
      </w:r>
      <w:r>
        <w:rPr>
          <w:rFonts w:ascii="Times New Roman" w:hAnsi="Times New Roman" w:eastAsia="Times New Roman" w:cs="Times New Roman"/>
          <w:color w:val="000000"/>
          <w:sz w:val="28"/>
          <w:szCs w:val="20"/>
        </w:rPr>
      </w:r>
      <w:r>
        <w:rPr>
          <w:rFonts w:ascii="Times New Roman" w:hAnsi="Times New Roman" w:eastAsia="Times New Roman" w:cs="Times New Roman"/>
          <w:color w:val="000000"/>
          <w:sz w:val="28"/>
          <w:szCs w:val="20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</w:pPr>
      <w:r>
        <w:rPr>
          <w:rFonts w:ascii="Times New Roman" w:hAnsi="Times New Roman" w:eastAsia="Times New Roman" w:cs="Times New Roman"/>
          <w:color w:val="000000"/>
          <w:sz w:val="28"/>
          <w:szCs w:val="20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0"/>
          <w:lang w:eastAsia="zh-CN"/>
        </w:rPr>
        <w:tab/>
        <w:t xml:space="preserve">ГУЗ «Областная детская больница» - 1 458,0 тыс. рублей.</w:t>
      </w:r>
      <w:r/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</w:pPr>
      <w:r/>
      <w:r/>
    </w:p>
    <w:p>
      <w:pPr>
        <w:numPr>
          <w:ilvl w:val="0"/>
          <w:numId w:val="16"/>
        </w:numPr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color w:val="000000"/>
          <w:sz w:val="28"/>
          <w:szCs w:val="20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28"/>
          <w:szCs w:val="20"/>
          <w:lang w:eastAsia="zh-CN"/>
        </w:rPr>
        <w:t xml:space="preserve">167,2 тыс. рублей - компенсация за молоко не подтвержденная результатами специальной оценки - </w:t>
      </w:r>
      <w:r>
        <w:rPr>
          <w:rFonts w:ascii="Times New Roman" w:hAnsi="Times New Roman" w:eastAsia="Times New Roman" w:cs="Times New Roman"/>
          <w:color w:val="000000"/>
          <w:sz w:val="28"/>
          <w:szCs w:val="20"/>
        </w:rPr>
      </w:r>
      <w:r>
        <w:rPr>
          <w:rFonts w:ascii="Times New Roman" w:hAnsi="Times New Roman" w:eastAsia="Times New Roman" w:cs="Times New Roman"/>
          <w:color w:val="000000"/>
          <w:sz w:val="28"/>
          <w:szCs w:val="20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</w:pPr>
      <w:r>
        <w:rPr>
          <w:rFonts w:ascii="Times New Roman" w:hAnsi="Times New Roman" w:eastAsia="Times New Roman" w:cs="Times New Roman"/>
          <w:color w:val="000000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0"/>
          <w:lang w:eastAsia="zh-CN"/>
        </w:rPr>
        <w:tab/>
        <w:t xml:space="preserve">ГУЗ «ЦСМПиМК Липецкой области» - 167,2 тыс. рублей.</w:t>
      </w:r>
      <w:r/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</w:pPr>
      <w:r/>
      <w:r/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0"/>
          <w:lang w:eastAsia="zh-CN"/>
        </w:rPr>
        <w:t xml:space="preserve"> Использование средств нормированного страхового запаса территориального фонда в нарушение условий их получения - 37,2 тыс. рублей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/>
        </w:rPr>
        <w:t xml:space="preserve">или 0,8% от выявленной суммы нецелевого использования средств</w:t>
      </w:r>
      <w:r>
        <w:rPr>
          <w:rFonts w:ascii="Times New Roman" w:hAnsi="Times New Roman" w:eastAsia="Times New Roman" w:cs="Times New Roman"/>
          <w:b/>
          <w:bCs/>
          <w:sz w:val="28"/>
          <w:szCs w:val="20"/>
          <w:lang w:eastAsia="zh-CN"/>
        </w:rPr>
        <w:t xml:space="preserve"> ОМС:</w:t>
      </w:r>
      <w:r>
        <w:rPr>
          <w:rFonts w:ascii="Times New Roman" w:hAnsi="Times New Roman" w:eastAsia="Times New Roman" w:cs="Times New Roman"/>
          <w:sz w:val="28"/>
          <w:szCs w:val="20"/>
        </w:rPr>
      </w:r>
      <w:r>
        <w:rPr>
          <w:rFonts w:ascii="Times New Roman" w:hAnsi="Times New Roman" w:eastAsia="Times New Roman" w:cs="Times New Roman"/>
          <w:sz w:val="28"/>
          <w:szCs w:val="20"/>
        </w:rPr>
      </w:r>
    </w:p>
    <w:p>
      <w:pPr>
        <w:numPr>
          <w:ilvl w:val="0"/>
          <w:numId w:val="17"/>
        </w:numPr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0"/>
          <w:lang w:eastAsia="zh-CN"/>
        </w:rPr>
        <w:t xml:space="preserve">37,2 тыс. рублей - софинансирование расходов на оплату труда врачей и среднего медицинского персонала (излишне начислена заработная плата:</w:t>
      </w:r>
      <w:r>
        <w:rPr>
          <w:rFonts w:ascii="Times New Roman" w:hAnsi="Times New Roman" w:eastAsia="Times New Roman" w:cs="Times New Roman"/>
          <w:sz w:val="28"/>
          <w:szCs w:val="20"/>
        </w:rPr>
      </w:r>
      <w:r>
        <w:rPr>
          <w:rFonts w:ascii="Times New Roman" w:hAnsi="Times New Roman" w:eastAsia="Times New Roman" w:cs="Times New Roman"/>
          <w:sz w:val="28"/>
          <w:szCs w:val="20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  <w:t xml:space="preserve">ГУЗ «ЛОКИБ» - 18,1 тыс. рублей;</w:t>
      </w:r>
      <w:r>
        <w:rPr>
          <w:rFonts w:ascii="Times New Roman" w:hAnsi="Times New Roman" w:eastAsia="Times New Roman" w:cs="Times New Roman"/>
          <w:sz w:val="28"/>
          <w:szCs w:val="20"/>
        </w:rPr>
      </w:r>
      <w:r>
        <w:rPr>
          <w:rFonts w:ascii="Times New Roman" w:hAnsi="Times New Roman" w:eastAsia="Times New Roman" w:cs="Times New Roman"/>
          <w:sz w:val="28"/>
          <w:szCs w:val="20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ab/>
        <w:t xml:space="preserve">ГУЗ «Липецкая городская поликлиника №2» - 1,1 тыс. рублей; </w:t>
      </w:r>
      <w:r>
        <w:rPr>
          <w:rFonts w:ascii="Times New Roman" w:hAnsi="Times New Roman" w:eastAsia="Times New Roman" w:cs="Times New Roman"/>
          <w:sz w:val="28"/>
          <w:szCs w:val="20"/>
        </w:rPr>
      </w:r>
      <w:r>
        <w:rPr>
          <w:rFonts w:ascii="Times New Roman" w:hAnsi="Times New Roman" w:eastAsia="Times New Roman" w:cs="Times New Roman"/>
          <w:sz w:val="28"/>
          <w:szCs w:val="20"/>
        </w:rPr>
      </w:r>
    </w:p>
    <w:p>
      <w:pPr>
        <w:pStyle w:val="883"/>
        <w:ind w:left="1415"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zh-CN"/>
        </w:rPr>
        <w:t xml:space="preserve">ГУЗ «Краснинская РБ» - 18,0 тыс. рублей.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Возвращено в бюджет ТФОМС Липецкой области в соответствии  с требованиями Федерального закона от 29.11.2010 № 326-ФЗ «Об обязательном медицинском страховании в Российской Федерации» - 4 748,1 тыс. рублей.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Остаток не восстановленных средств по состоянию на 01.07.2025 составил 4 514,4 тыс. рублей.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284" w:firstLine="993"/>
        <w:shd w:val="clear" w:color="ffffff" w:themeColor="background1" w:fill="ffffff" w:themeFill="background1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Остаток задолженности по штрафам по результатам проверок по состоянию на 01.01.2025 составлял 691,7 тыс. рублей (медицинские организации).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Сумма предъявленных штрафов, пеней за нецелевое использование средств ОМС по результатам проверок деятельности  медицинских организаций в сфере обязательного медицинского страхования  за 6 месяцев 2025 года составила 1 504,4 тыс. рублей - в том числе: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штрафы за нецелевое использование средств ОМС - 838,4 тыс. рублей;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пени от суммы нецелевого использования средств ОМС за каждый день просрочки - 666,0 тыс. рублей.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 Сумма средств от применения штрафов, пеней по результатам проверок медицинских организаций в отчетном периоде перечислена на счет ТФОМС Липецкой области  в размере - 383,5 тыс. рублей.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Остаток задолженности по штрафам, пеням за нецелевое использование средств ОМС по результатам проверок отчетного периода по состоянию на 30.06.2025 составляет 1 812,6 тыс. рублей.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Отсутствие должного внутреннего контроля объемов, сроков, качества и условий предоставления медицинской помощи способствует образованию финансовых потерь в медицинских организациях.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 результатам проведенных в первом полугодии 2025 года проверок медицинских организаций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финансовые потери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результате частичной или полной неоплаты медицинской помощи составили 61 193,6 тыс. рублей.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ходе контрольных мероприятий за первое полугодие 2025 года были установлены нарушения, приведшие к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неэффективному использованию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средств ОМС на сумму 13 823,1 тыс. рублей: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8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в виде оплаты штрафных санкций по предписаниям страховых медицинских организаций по результатам медико-экономического контроля, медико-экономической экспертизы, экспертизы качества медицинской помощи – 13 718,4 тыс. рублей;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8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утилизированные лекарственные средства и химические препараты с истекшим сроком годности - 104,7 тыс. рублей.</w:t>
      </w: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 целью исключения случаев неэффективного использования денежных средств ОМС административно-управленческому персоналу медицинских организаций необходимо: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усилить внутренний контроль объемов, сроков, качества и условий предоставления медицинской помощи в целях недопущения штрафных санкций по предписаниям страховых медицинских организаций;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осуществлять в постоянном реж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име контроль учета медикаментов, химических реактивов и расходных материалов и использовать эти данные для формирования рациональных запасов медикаментов, а также своевременно принимать меры по реализации лекарственных средств с истекающим сроком годности.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Выявленные при проверках нарушения приводят к отвлечению средств обязательного медицинского страхования, снижению финансовой устойчивости и образованию кредиторской задолженности в медицинских организациях.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Исключени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 в медицинских организациях фактов нецелевого и неэффективного использования средств ОМС является дополнительным источником для своевременных расчетов с поставщиками за материальные ценности, и как следствие приводит к снижению кредиторской задолженности.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Руководителям медицинских организаций необходимо принять меры по усилению финансовой дис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циплины. Недопустимость нецелевого расходования средств ОМС медицинскими организациями следует признать одним из основополагающих принципов деятельности указанных субъектов, соблюдение которого частично гарантирует достижение поставленных перед ними задач.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ind w:left="-284" w:firstLine="540"/>
        <w:jc w:val="both"/>
        <w:spacing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 период январь-июнь 2025 года на рассмотрении по результатам проверки находились следующие судебные дела: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Арбитражном суде ц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ентрального округа принято решение по делу № А36-975/2024 от 03.04.2025 о признании нецелевым использованием средств ОМС государственным учреждением здравоохранения «Липецкая областная клиническая больница» в размере 937 041,66 рублей и уплате штрафа в раз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мере 93 704,16 рублей. Средства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использованные не по целевому назначению и штрафы перечислены в бюджет ТФОМС Липецкой области в полном объеме.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 xml:space="preserve">В Арбитражном суде Липецкой области продолжается рассмотрение дела № А36-7829/2024 от 06.09.2024 по использованию средств ОМС обществом с ограниченной ответственностью «Промышленная Медицинская Компания- </w:t>
      </w:r>
      <w:bookmarkStart w:id="0" w:name="_GoBack"/>
      <w:r/>
      <w:bookmarkEnd w:id="0"/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 xml:space="preserve">Медицинский центр» в части требования о возврате средств ОМС, использованных не по целевому назначению в размере 706 365,26 рублей, и уплате штрафа в размере 492 536,53 рублей.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 xml:space="preserve">Арбитражным судом Липецкой области продолжается рассмотрение дела № А36-10641/2024 от 17.12.2024 по заявлению общества с ограниченной ответственностью «ФРЕЗЕНИУС НЕФРОКЕА» о признании недействительным требования ТФОМС Липецкой области о</w:t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 xml:space="preserve"> восстановлении средств ОМС, использованных не по целевому назначению в размере 705 637,00 рублей и уплате штрафа в размере 70 563,70 рублей. 09.07.2025 года вынесено решение об отказе в удовлетворении требований медицинской организации в первой инстанции.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 xml:space="preserve">В соответствии с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 xml:space="preserve">Приказом Минфина России от 26.09.2024 № 139н «Об утверждении общих требований к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 xml:space="preserve">регламенту реализации полномочий администратора доходов бюджета по взысканию дебиторской задолженности по платежам в бюджет, пеням и штрафам по ним», в ТФОМС Липецкой области утвержден регламент по взысканию дебиторской задолженности, которым установлены 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ероприятия по недопущению образования пр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осроченной дебиторской задолженности по доходам, в том числе урегулирование дебиторской задолженности в досудебном порядке (со дня истечения срока уплаты соответствующего платежа в бюджет (пеней, штрафов) до начала работы по их принудительному взысканию, 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также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</w:t>
      </w:r>
      <w:r>
        <w:t xml:space="preserve">.</w:t>
      </w:r>
      <w:r/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 состоянию на 01.01.2025 просроченная кредиторская задолженность государ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ственных медицинских организаций перед поставщиками за поставленные материальные ценности и оказанные услуги составляла 3,8 млн. рублей. За январь-июнь 2025 года она увеличилась на 167,3 млн. рублей и по состоянию на 01.07.2025 составила 171,1 млн. рублей.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ра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мках контроля объемов, сроков, качества и условий оказания медицинской помощи, оказанной медицинскими организациями Липецкой области, специалистами СМО в отчетном периоде проводились экспертные мероприятия в соответствии с действующими нормативными актами.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 период январь-июнь 2025 года подвергнуто экспертизам 63,2 тысяч страховых случаев медицинской помощи, оказанных гражданам, застрахованным на территории Липецкой области, в том числе в ходе плановых проверок 21,7 тысяч.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 проведении медико-экономических экспертиз (МЭЭ) за январь-июнь 2025 года было проанализировано 48,6 тысяч случаев оказания медицинской помощи, в том числе при целевых проверках 31,7 тысяч случаев.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результате МЭЭ было установлено 14 110 нарушение (29%), отмечается незначительное увеличение количества дефектов в сравнении с аналогичным периодом 2024 года, когда данный показатель составлял 28% (в 2023 - 15%).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Количество нарушений по причине «непр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едставление первичной медицинской документации, подтверждающей факт оказания ЗЛ медицинской помощи», составило – 3 824 или 27% от общего количества нарушений, по сравнению с аналогичным периодом 2024 года количество данных нарушений увеличилось в 2,5 раза.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Количество нарушений по причине «несоответствие данных первичной медицинской документации данным реестра счетов», составило – 6 921 или 49% от общего количества нарушений, что в 1,2 раза больше, чем в аналогичном периоде 2024 года.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Количе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ство нарушений по причине «отсутствие в документации информированного добровольного согласия застрахованного лица на медицинское вмешательство», составило – 820 или 6% от общего количества нарушений, что в 5 раз меньше, чем в аналогичном периоде 2024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ходе экспертиз качества медицинской помощи (ЭКМП) было проанализировано 14,6 тысяч случаев оказания медицинской помощи, в том числе при целевых проверках - 9,8 тысяч случаев.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результате ЭКМП было установлено 5 108 нарушений (35%), за аналогичный период 2024 года данный показатель составлял также 28%.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Наибольшее количество нарушений – «невыполнение, несвоевременное или ненадлежащее выполнение необходимых пациенту диагностических и (или) лечебных мероприятий, оперативных вмешательств в соответствии с по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рядками оказания медицинской помощи, на основе клинических рекомендаций и с учетом стандартов медицинской помощи» - 1 607 или 31% от общего количества нарушений, в том числе при проведении диспансеризации определенных групп взрослого населения – 736 (46%).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 проведении ЭКМП установлены нарушения из раздела 2 Перечня оснований для отказа в оплате медицинской помощи (уменьшения в оплате медицинской помощи), их количество  составило - 1 795 или 35% от общего количества нарушений, в том числе: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«несоответствие данных первичной медицинской документации данным реестра счетов», составило – 939 или 52% от количества нарушений из раздела 2;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«отсутствие в документации информированного добровольного согласия застрахованного лица на медицинское вмешательство», составило – 125 или 7% от количества нарушений из раздела 2;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«непредставление первичной медицинской документации, подтверждающей факт оказания ЗЛ медицинской помощи», составило – 483 или 27% от общего количества нарушений из раздела 2.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 итогам МЭЭ и ЭКМП к медицинским организациям применены финансовые санкции в размере 67,7 млн. рублей (2024 год – 57,5 млн. рублей).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 6 месяцев 2025 года проведено 94 081 контрольно-экспертных мероприятия по случаям оказания медицинской помощи пациентам с подозрением на злокачественные новообразования (ЗНО) и/или с подтвержденным диагнозом ЗНО, в том числе 91 3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61 медико-экономического контроля, 2 521 медико-экономических экспертиз, 199 экспертиз качества медицинской помощи. По результатам контрольно-экспертных мероприятий выявлено 2 820 дефектов, в том числе 1 010 по страховым случаям с применением химиотерапии.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7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 период январь-июнь 2025 года специалистам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ТФОМС Липецкой области и экспертами качества медицинской помощи, входящими в реестр экспертов качества медицинской помощи, привлекаемыми на договорной основе, проводились повторные медико-экономические экспертизы и экспертизы качества медицинской помощи.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570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Количество страховых случаев, подвергшихся повторной МЭЭ, составило 1 164, повторной ЭКМП - 623, чт</w:t>
      </w:r>
      <w:r>
        <w:rPr>
          <w:rFonts w:ascii="Times New Roman" w:hAnsi="Times New Roman" w:eastAsia="Calibri" w:cs="Times New Roman"/>
          <w:sz w:val="28"/>
          <w:szCs w:val="28"/>
        </w:rPr>
        <w:t xml:space="preserve">о соответствует требованиям приказа ФФОМС от 19.03.2021 № 231н «Об утверждении Порядка проведения контроля объемов, сроков, качества и условий предоставления медицинской помощи по обязательному медицинскому страхованию, а также ее финансового обеспечения».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Установлены нарушения в 6 случаях (0,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3%), допущенные медицинскими организациями, но не выявленные СМО при первичном проведении экспертиз. По итогам повторных экспертиз к СМО применены штрафные санкций в размере 2 999,44 рублей - 10% от суммы, необоснованно оплаченной медицинским организациям.</w:t>
      </w:r>
      <w:r>
        <w:rPr>
          <w:rFonts w:ascii="Times New Roman" w:hAnsi="Times New Roman" w:eastAsia="Times New Roman" w:cs="Times New Roman"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Cs/>
          <w:sz w:val="28"/>
          <w:szCs w:val="28"/>
        </w:rPr>
      </w:r>
    </w:p>
    <w:p>
      <w:pPr>
        <w:pStyle w:val="854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За январь-июнь 2025 года ТФОМС и СМО было рассмотрено 42 734 обращений. В сравнении с аналогичным периодом 2024 года количество обращений увеличилось на 1 тысячу.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Всего</w:t>
      </w:r>
      <w:r>
        <w:rPr>
          <w:sz w:val="28"/>
          <w:szCs w:val="28"/>
          <w:lang w:eastAsia="ru-RU"/>
        </w:rPr>
        <w:t xml:space="preserve"> обращений за разъяснениями, в том числе заявлений, 42 588, наибольшее количество по вопросам выбора и/или замены СМО, включение в единый регистр застрахованных, обеспечение выдачи полисов, о переоформлении полиса ОМС - 32 329 или 76% от общего количества.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За период январь-июнь 2025 года поступило 139 жалоб или 0,3% от общего числа обращений; в 2024 году данный показатель 103 (0,2%).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Все жалобы рассмотрены в досудебном порядке, в установленные законом сроки, обоснованными признано 109 (78%), за аналогичный период  2024 года 59 жалоб (57%) были признаны обоснованными.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Структура обоснованных жалоб по причинам сложилась следующим образом: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numPr>
          <w:ilvl w:val="0"/>
          <w:numId w:val="21"/>
        </w:numPr>
        <w:jc w:val="both"/>
        <w:spacing w:after="0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40 жалоб (37%) на качество медицинской помощи;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numPr>
          <w:ilvl w:val="0"/>
          <w:numId w:val="21"/>
        </w:numPr>
        <w:jc w:val="both"/>
        <w:spacing w:after="0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11 жалоб (10%) на организацию работы медицинской организации;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numPr>
          <w:ilvl w:val="0"/>
          <w:numId w:val="21"/>
        </w:numPr>
        <w:jc w:val="both"/>
        <w:spacing w:after="0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55 жалоб (50%) на недостоверные сведения об оказанных медицинских услугах;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numPr>
          <w:ilvl w:val="0"/>
          <w:numId w:val="21"/>
        </w:numPr>
        <w:jc w:val="both"/>
        <w:spacing w:after="0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1 жалоба (1%) на проведение профилактических мероприятий;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numPr>
          <w:ilvl w:val="0"/>
          <w:numId w:val="21"/>
        </w:numPr>
        <w:jc w:val="both"/>
        <w:spacing w:after="0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2 жалобы (2%) на отказ в оказании медицинской помощи по программе ОМС.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firstLine="720"/>
        <w:jc w:val="both"/>
        <w:spacing w:after="0"/>
        <w:tabs>
          <w:tab w:val="left" w:pos="720" w:leader="none"/>
        </w:tabs>
        <w:rPr>
          <w:rFonts w:eastAsia="Calibri"/>
          <w:sz w:val="28"/>
          <w:szCs w:val="28"/>
        </w:rPr>
      </w:pPr>
      <w:r>
        <w:rPr>
          <w:sz w:val="28"/>
          <w:szCs w:val="28"/>
          <w:lang w:eastAsia="ru-RU"/>
        </w:rPr>
        <w:t xml:space="preserve">С августа 2022 года страховыми медицинскими организациями в соответствии с требованиями приказа Минздрава России от 19.07.2022 № 495 «Об утверждении методики расчета дополнительного показателя «Оценка общественного мнения по удовлетворенности населе</w:t>
      </w:r>
      <w:r>
        <w:rPr>
          <w:sz w:val="28"/>
          <w:szCs w:val="28"/>
          <w:lang w:eastAsia="ru-RU"/>
        </w:rPr>
        <w:t xml:space="preserve">ния медицинской помощью, %» федерального проекта «Модернизация первичного звена Российской Федерации» ежемесячно проводится опрос населения по удовлетворенности населения медицинской помощью. Процент удовлетворенности за 2 квартал 2025 года составил 62,1%.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854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sectPr>
      <w:footnotePr/>
      <w:endnotePr/>
      <w:type w:val="nextPage"/>
      <w:pgSz w:w="11906" w:h="16838" w:orient="portrait"/>
      <w:pgMar w:top="709" w:right="850" w:bottom="709" w:left="1418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Symbol">
    <w:panose1 w:val="05010000000000000000"/>
  </w:font>
  <w:font w:name="Courier New">
    <w:panose1 w:val="02070309020205020404"/>
  </w:font>
  <w:font w:name="Lohit Devanagari">
    <w:panose1 w:val="02000603000000000000"/>
  </w:font>
  <w:font w:name="Open Sans">
    <w:panose1 w:val="020B060603050402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7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13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1733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453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173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3893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4613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333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053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965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685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405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125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45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565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285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05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725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731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1451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171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2891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3611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4331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051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5771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83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03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923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643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63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83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03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23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243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83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50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22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66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38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829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1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1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1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1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1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1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1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1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20"/>
  </w:num>
  <w:num w:numId="2">
    <w:abstractNumId w:val="15"/>
  </w:num>
  <w:num w:numId="3">
    <w:abstractNumId w:val="0"/>
  </w:num>
  <w:num w:numId="4">
    <w:abstractNumId w:val="5"/>
  </w:num>
  <w:num w:numId="5">
    <w:abstractNumId w:val="21"/>
  </w:num>
  <w:num w:numId="6">
    <w:abstractNumId w:val="10"/>
  </w:num>
  <w:num w:numId="7">
    <w:abstractNumId w:val="9"/>
  </w:num>
  <w:num w:numId="8">
    <w:abstractNumId w:val="22"/>
  </w:num>
  <w:num w:numId="9">
    <w:abstractNumId w:val="4"/>
  </w:num>
  <w:num w:numId="10">
    <w:abstractNumId w:val="11"/>
  </w:num>
  <w:num w:numId="11">
    <w:abstractNumId w:val="7"/>
  </w:num>
  <w:num w:numId="12">
    <w:abstractNumId w:val="1"/>
  </w:num>
  <w:num w:numId="13">
    <w:abstractNumId w:val="17"/>
  </w:num>
  <w:num w:numId="14">
    <w:abstractNumId w:val="14"/>
  </w:num>
  <w:num w:numId="15">
    <w:abstractNumId w:val="12"/>
  </w:num>
  <w:num w:numId="16">
    <w:abstractNumId w:val="3"/>
  </w:num>
  <w:num w:numId="17">
    <w:abstractNumId w:val="13"/>
  </w:num>
  <w:num w:numId="18">
    <w:abstractNumId w:val="2"/>
  </w:num>
  <w:num w:numId="19">
    <w:abstractNumId w:val="16"/>
  </w:num>
  <w:num w:numId="20">
    <w:abstractNumId w:val="8"/>
  </w:num>
  <w:num w:numId="21">
    <w:abstractNumId w:val="19"/>
  </w:num>
  <w:num w:numId="22">
    <w:abstractNumId w:val="18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Plain Table 1"/>
    <w:basedOn w:val="7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2">
    <w:name w:val="Plain Table 2"/>
    <w:basedOn w:val="7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3">
    <w:name w:val="Plain Table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4">
    <w:name w:val="Plain Table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Plain Table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6">
    <w:name w:val="Grid Table 1 Light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4"/>
    <w:basedOn w:val="7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0">
    <w:name w:val="Grid Table 5 Dark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1">
    <w:name w:val="Grid Table 6 Colorful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2">
    <w:name w:val="Grid Table 7 Colorful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List Table 1 Light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List Table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15">
    <w:name w:val="List Table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List Table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List Table 5 Dark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18">
    <w:name w:val="List Table 6 Colorful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19">
    <w:name w:val="List Table 7 Colorful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720" w:default="1">
    <w:name w:val="Normal"/>
    <w:qFormat/>
    <w:pPr>
      <w:spacing w:after="200" w:line="276" w:lineRule="auto"/>
    </w:pPr>
  </w:style>
  <w:style w:type="paragraph" w:styleId="721">
    <w:name w:val="Heading 1"/>
    <w:basedOn w:val="720"/>
    <w:next w:val="720"/>
    <w:link w:val="826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722">
    <w:name w:val="Heading 2"/>
    <w:basedOn w:val="720"/>
    <w:next w:val="720"/>
    <w:link w:val="905"/>
    <w:uiPriority w:val="9"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723">
    <w:name w:val="Heading 3"/>
    <w:basedOn w:val="720"/>
    <w:next w:val="720"/>
    <w:link w:val="828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24">
    <w:name w:val="Heading 4"/>
    <w:basedOn w:val="720"/>
    <w:next w:val="720"/>
    <w:link w:val="829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5">
    <w:name w:val="Heading 5"/>
    <w:basedOn w:val="720"/>
    <w:next w:val="720"/>
    <w:link w:val="830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26">
    <w:name w:val="Heading 6"/>
    <w:basedOn w:val="720"/>
    <w:next w:val="720"/>
    <w:link w:val="831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27">
    <w:name w:val="Heading 7"/>
    <w:basedOn w:val="720"/>
    <w:next w:val="720"/>
    <w:link w:val="832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28">
    <w:name w:val="Heading 8"/>
    <w:basedOn w:val="720"/>
    <w:next w:val="720"/>
    <w:link w:val="833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29">
    <w:name w:val="Heading 9"/>
    <w:basedOn w:val="720"/>
    <w:next w:val="720"/>
    <w:link w:val="834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0" w:default="1">
    <w:name w:val="Default Paragraph Font"/>
    <w:uiPriority w:val="1"/>
    <w:semiHidden/>
    <w:unhideWhenUsed/>
  </w:style>
  <w:style w:type="table" w:styleId="7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2" w:default="1">
    <w:name w:val="No List"/>
    <w:uiPriority w:val="99"/>
    <w:semiHidden/>
    <w:unhideWhenUsed/>
  </w:style>
  <w:style w:type="table" w:styleId="733" w:customStyle="1">
    <w:name w:val="Таблица простая 11"/>
    <w:basedOn w:val="73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 w:customStyle="1">
    <w:name w:val="Таблица простая 21"/>
    <w:basedOn w:val="73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 w:customStyle="1">
    <w:name w:val="Таблица простая 31"/>
    <w:basedOn w:val="73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6" w:customStyle="1">
    <w:name w:val="Таблица простая 41"/>
    <w:basedOn w:val="73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Таблица простая 51"/>
    <w:basedOn w:val="73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8" w:customStyle="1">
    <w:name w:val="Таблица-сетка 1 светлая1"/>
    <w:basedOn w:val="73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Таблица-сетка 21"/>
    <w:basedOn w:val="73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Таблица-сетка 31"/>
    <w:basedOn w:val="73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Таблица-сетка 41"/>
    <w:basedOn w:val="73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2" w:customStyle="1">
    <w:name w:val="Таблица-сетка 5 темная1"/>
    <w:basedOn w:val="73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3" w:customStyle="1">
    <w:name w:val="Таблица-сетка 6 цветная1"/>
    <w:basedOn w:val="73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44" w:customStyle="1">
    <w:name w:val="Таблица-сетка 7 цветная1"/>
    <w:basedOn w:val="73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Список-таблица 1 светлая1"/>
    <w:basedOn w:val="73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Список-таблица 21"/>
    <w:basedOn w:val="73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47" w:customStyle="1">
    <w:name w:val="Список-таблица 31"/>
    <w:basedOn w:val="73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Список-таблица 41"/>
    <w:basedOn w:val="73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 w:customStyle="1">
    <w:name w:val="Список-таблица 5 темная1"/>
    <w:basedOn w:val="73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50" w:customStyle="1">
    <w:name w:val="Список-таблица 6 цветная1"/>
    <w:basedOn w:val="73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51" w:customStyle="1">
    <w:name w:val="Список-таблица 7 цветная1"/>
    <w:basedOn w:val="73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52" w:customStyle="1">
    <w:name w:val="Caption Char"/>
    <w:basedOn w:val="730"/>
    <w:uiPriority w:val="35"/>
    <w:rPr>
      <w:b/>
      <w:bCs/>
      <w:color w:val="4f81bd" w:themeColor="accent1"/>
      <w:sz w:val="18"/>
      <w:szCs w:val="18"/>
    </w:rPr>
  </w:style>
  <w:style w:type="table" w:styleId="753" w:customStyle="1">
    <w:name w:val="Таблица простая 11"/>
    <w:basedOn w:val="73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4" w:customStyle="1">
    <w:name w:val="Таблица простая 21"/>
    <w:basedOn w:val="73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5" w:customStyle="1">
    <w:name w:val="Таблица простая 31"/>
    <w:basedOn w:val="73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6" w:customStyle="1">
    <w:name w:val="Таблица простая 41"/>
    <w:basedOn w:val="73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Таблица простая 51"/>
    <w:basedOn w:val="73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8" w:customStyle="1">
    <w:name w:val="Таблица-сетка 1 светлая1"/>
    <w:basedOn w:val="73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Таблица-сетка 21"/>
    <w:basedOn w:val="73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Таблица-сетка 31"/>
    <w:basedOn w:val="73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Таблица-сетка 41"/>
    <w:basedOn w:val="73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2" w:customStyle="1">
    <w:name w:val="Таблица-сетка 5 темная1"/>
    <w:basedOn w:val="73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3" w:customStyle="1">
    <w:name w:val="Таблица-сетка 6 цветная1"/>
    <w:basedOn w:val="73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4" w:customStyle="1">
    <w:name w:val="Таблица-сетка 7 цветная1"/>
    <w:basedOn w:val="73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Список-таблица 1 светлая1"/>
    <w:basedOn w:val="73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Список-таблица 21"/>
    <w:basedOn w:val="73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67" w:customStyle="1">
    <w:name w:val="Список-таблица 31"/>
    <w:basedOn w:val="73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Список-таблица 41"/>
    <w:basedOn w:val="73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Список-таблица 5 темная1"/>
    <w:basedOn w:val="73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0" w:customStyle="1">
    <w:name w:val="Список-таблица 6 цветная1"/>
    <w:basedOn w:val="73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71" w:customStyle="1">
    <w:name w:val="Список-таблица 7 цветная1"/>
    <w:basedOn w:val="73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Таблица простая 11"/>
    <w:basedOn w:val="73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3" w:customStyle="1">
    <w:name w:val="Таблица простая 21"/>
    <w:basedOn w:val="73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4" w:customStyle="1">
    <w:name w:val="Таблица простая 31"/>
    <w:basedOn w:val="73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5" w:customStyle="1">
    <w:name w:val="Таблица простая 41"/>
    <w:basedOn w:val="73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Таблица простая 51"/>
    <w:basedOn w:val="73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7" w:customStyle="1">
    <w:name w:val="Таблица-сетка 1 светлая1"/>
    <w:basedOn w:val="73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Таблица-сетка 21"/>
    <w:basedOn w:val="73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Таблица-сетка 31"/>
    <w:basedOn w:val="73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Таблица-сетка 41"/>
    <w:basedOn w:val="73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1" w:customStyle="1">
    <w:name w:val="Таблица-сетка 5 темная1"/>
    <w:basedOn w:val="73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2" w:customStyle="1">
    <w:name w:val="Таблица-сетка 6 цветная1"/>
    <w:basedOn w:val="73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3" w:customStyle="1">
    <w:name w:val="Таблица-сетка 7 цветная1"/>
    <w:basedOn w:val="73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4" w:customStyle="1">
    <w:name w:val="Список-таблица 1 светлая1"/>
    <w:basedOn w:val="73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Список-таблица 21"/>
    <w:basedOn w:val="73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6" w:customStyle="1">
    <w:name w:val="Список-таблица 31"/>
    <w:basedOn w:val="73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Список-таблица 41"/>
    <w:basedOn w:val="73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Список-таблица 5 темная1"/>
    <w:basedOn w:val="73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9" w:customStyle="1">
    <w:name w:val="Список-таблица 6 цветная1"/>
    <w:basedOn w:val="73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90" w:customStyle="1">
    <w:name w:val="Список-таблица 7 цветная1"/>
    <w:basedOn w:val="73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1" w:customStyle="1">
    <w:name w:val="Таблица простая 11"/>
    <w:basedOn w:val="73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2" w:customStyle="1">
    <w:name w:val="Таблица простая 21"/>
    <w:basedOn w:val="73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3" w:customStyle="1">
    <w:name w:val="Таблица простая 31"/>
    <w:basedOn w:val="73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4" w:customStyle="1">
    <w:name w:val="Таблица простая 41"/>
    <w:basedOn w:val="73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Таблица простая 51"/>
    <w:basedOn w:val="73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6" w:customStyle="1">
    <w:name w:val="Таблица-сетка 1 светлая1"/>
    <w:basedOn w:val="73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Таблица-сетка 21"/>
    <w:basedOn w:val="73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Таблица-сетка 31"/>
    <w:basedOn w:val="73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Таблица-сетка 41"/>
    <w:basedOn w:val="73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0" w:customStyle="1">
    <w:name w:val="Таблица-сетка 5 темная1"/>
    <w:basedOn w:val="73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1" w:customStyle="1">
    <w:name w:val="Таблица-сетка 6 цветная1"/>
    <w:basedOn w:val="73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2" w:customStyle="1">
    <w:name w:val="Таблица-сетка 7 цветная1"/>
    <w:basedOn w:val="73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Список-таблица 1 светлая1"/>
    <w:basedOn w:val="73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Список-таблица 21"/>
    <w:basedOn w:val="73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5" w:customStyle="1">
    <w:name w:val="Список-таблица 31"/>
    <w:basedOn w:val="73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Список-таблица 41"/>
    <w:basedOn w:val="73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Список-таблица 5 темная1"/>
    <w:basedOn w:val="73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Список-таблица 6 цветная1"/>
    <w:basedOn w:val="73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9" w:customStyle="1">
    <w:name w:val="Список-таблица 7 цветная1"/>
    <w:basedOn w:val="73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810" w:customStyle="1">
    <w:name w:val="Heading 1 Char"/>
    <w:basedOn w:val="730"/>
    <w:uiPriority w:val="9"/>
    <w:qFormat/>
    <w:rPr>
      <w:rFonts w:ascii="Arial" w:hAnsi="Arial" w:eastAsia="Arial" w:cs="Arial"/>
      <w:sz w:val="40"/>
      <w:szCs w:val="40"/>
    </w:rPr>
  </w:style>
  <w:style w:type="character" w:styleId="811" w:customStyle="1">
    <w:name w:val="Heading 3 Char"/>
    <w:basedOn w:val="730"/>
    <w:uiPriority w:val="9"/>
    <w:qFormat/>
    <w:rPr>
      <w:rFonts w:ascii="Arial" w:hAnsi="Arial" w:eastAsia="Arial" w:cs="Arial"/>
      <w:sz w:val="30"/>
      <w:szCs w:val="30"/>
    </w:rPr>
  </w:style>
  <w:style w:type="character" w:styleId="812" w:customStyle="1">
    <w:name w:val="Heading 4 Char"/>
    <w:basedOn w:val="730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13" w:customStyle="1">
    <w:name w:val="Heading 5 Char"/>
    <w:basedOn w:val="730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14" w:customStyle="1">
    <w:name w:val="Heading 6 Char"/>
    <w:basedOn w:val="730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15" w:customStyle="1">
    <w:name w:val="Heading 7 Char"/>
    <w:basedOn w:val="730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6" w:customStyle="1">
    <w:name w:val="Heading 8 Char"/>
    <w:basedOn w:val="730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17" w:customStyle="1">
    <w:name w:val="Heading 9 Char"/>
    <w:basedOn w:val="730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18" w:customStyle="1">
    <w:name w:val="Title Char"/>
    <w:basedOn w:val="730"/>
    <w:uiPriority w:val="10"/>
    <w:qFormat/>
    <w:rPr>
      <w:sz w:val="48"/>
      <w:szCs w:val="48"/>
    </w:rPr>
  </w:style>
  <w:style w:type="character" w:styleId="819" w:customStyle="1">
    <w:name w:val="Subtitle Char"/>
    <w:basedOn w:val="730"/>
    <w:uiPriority w:val="11"/>
    <w:qFormat/>
    <w:rPr>
      <w:sz w:val="24"/>
      <w:szCs w:val="24"/>
    </w:rPr>
  </w:style>
  <w:style w:type="character" w:styleId="820" w:customStyle="1">
    <w:name w:val="Quote Char"/>
    <w:uiPriority w:val="29"/>
    <w:qFormat/>
    <w:rPr>
      <w:i/>
    </w:rPr>
  </w:style>
  <w:style w:type="character" w:styleId="821" w:customStyle="1">
    <w:name w:val="Intense Quote Char"/>
    <w:uiPriority w:val="30"/>
    <w:qFormat/>
    <w:rPr>
      <w:i/>
    </w:rPr>
  </w:style>
  <w:style w:type="character" w:styleId="822" w:customStyle="1">
    <w:name w:val="Header Char"/>
    <w:basedOn w:val="730"/>
    <w:uiPriority w:val="99"/>
    <w:qFormat/>
  </w:style>
  <w:style w:type="character" w:styleId="823" w:customStyle="1">
    <w:name w:val="Название объекта Знак"/>
    <w:link w:val="856"/>
    <w:uiPriority w:val="99"/>
    <w:qFormat/>
  </w:style>
  <w:style w:type="character" w:styleId="824" w:customStyle="1">
    <w:name w:val="Footnote Text Char"/>
    <w:uiPriority w:val="99"/>
    <w:qFormat/>
    <w:rPr>
      <w:sz w:val="18"/>
    </w:rPr>
  </w:style>
  <w:style w:type="character" w:styleId="825" w:customStyle="1">
    <w:name w:val="Endnote Text Char"/>
    <w:uiPriority w:val="99"/>
    <w:qFormat/>
    <w:rPr>
      <w:sz w:val="20"/>
    </w:rPr>
  </w:style>
  <w:style w:type="character" w:styleId="826" w:customStyle="1">
    <w:name w:val="Заголовок 1 Знак"/>
    <w:basedOn w:val="730"/>
    <w:link w:val="721"/>
    <w:uiPriority w:val="9"/>
    <w:qFormat/>
    <w:rPr>
      <w:rFonts w:ascii="Arial" w:hAnsi="Arial" w:eastAsia="Arial" w:cs="Arial"/>
      <w:sz w:val="40"/>
      <w:szCs w:val="40"/>
    </w:rPr>
  </w:style>
  <w:style w:type="character" w:styleId="827" w:customStyle="1">
    <w:name w:val="Heading 2 Char"/>
    <w:basedOn w:val="730"/>
    <w:uiPriority w:val="9"/>
    <w:qFormat/>
    <w:rPr>
      <w:rFonts w:ascii="Arial" w:hAnsi="Arial" w:eastAsia="Arial" w:cs="Arial"/>
      <w:sz w:val="34"/>
    </w:rPr>
  </w:style>
  <w:style w:type="character" w:styleId="828" w:customStyle="1">
    <w:name w:val="Заголовок 3 Знак"/>
    <w:basedOn w:val="730"/>
    <w:link w:val="723"/>
    <w:uiPriority w:val="9"/>
    <w:qFormat/>
    <w:rPr>
      <w:rFonts w:ascii="Arial" w:hAnsi="Arial" w:eastAsia="Arial" w:cs="Arial"/>
      <w:sz w:val="30"/>
      <w:szCs w:val="30"/>
    </w:rPr>
  </w:style>
  <w:style w:type="character" w:styleId="829" w:customStyle="1">
    <w:name w:val="Заголовок 4 Знак"/>
    <w:basedOn w:val="730"/>
    <w:link w:val="72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30" w:customStyle="1">
    <w:name w:val="Заголовок 5 Знак"/>
    <w:basedOn w:val="730"/>
    <w:link w:val="725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31" w:customStyle="1">
    <w:name w:val="Заголовок 6 Знак"/>
    <w:basedOn w:val="730"/>
    <w:link w:val="72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32" w:customStyle="1">
    <w:name w:val="Заголовок 7 Знак"/>
    <w:basedOn w:val="730"/>
    <w:link w:val="72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33" w:customStyle="1">
    <w:name w:val="Заголовок 8 Знак"/>
    <w:basedOn w:val="730"/>
    <w:link w:val="72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34" w:customStyle="1">
    <w:name w:val="Заголовок 9 Знак"/>
    <w:basedOn w:val="730"/>
    <w:link w:val="72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35" w:customStyle="1">
    <w:name w:val="Название Знак"/>
    <w:basedOn w:val="730"/>
    <w:link w:val="858"/>
    <w:uiPriority w:val="10"/>
    <w:qFormat/>
    <w:rPr>
      <w:sz w:val="48"/>
      <w:szCs w:val="48"/>
    </w:rPr>
  </w:style>
  <w:style w:type="character" w:styleId="836" w:customStyle="1">
    <w:name w:val="Подзаголовок Знак"/>
    <w:basedOn w:val="730"/>
    <w:link w:val="859"/>
    <w:uiPriority w:val="11"/>
    <w:qFormat/>
    <w:rPr>
      <w:sz w:val="24"/>
      <w:szCs w:val="24"/>
    </w:rPr>
  </w:style>
  <w:style w:type="character" w:styleId="837" w:customStyle="1">
    <w:name w:val="Цитата 2 Знак"/>
    <w:link w:val="860"/>
    <w:uiPriority w:val="29"/>
    <w:qFormat/>
    <w:rPr>
      <w:i/>
    </w:rPr>
  </w:style>
  <w:style w:type="character" w:styleId="838" w:customStyle="1">
    <w:name w:val="Выделенная цитата Знак"/>
    <w:link w:val="861"/>
    <w:uiPriority w:val="30"/>
    <w:qFormat/>
    <w:rPr>
      <w:i/>
    </w:rPr>
  </w:style>
  <w:style w:type="character" w:styleId="839" w:customStyle="1">
    <w:name w:val="Верхний колонтитул Знак"/>
    <w:basedOn w:val="730"/>
    <w:link w:val="863"/>
    <w:uiPriority w:val="99"/>
    <w:qFormat/>
  </w:style>
  <w:style w:type="character" w:styleId="840" w:customStyle="1">
    <w:name w:val="Footer Char"/>
    <w:basedOn w:val="730"/>
    <w:uiPriority w:val="99"/>
    <w:qFormat/>
  </w:style>
  <w:style w:type="character" w:styleId="841" w:customStyle="1">
    <w:name w:val="Нижний колонтитул Знак"/>
    <w:link w:val="864"/>
    <w:uiPriority w:val="99"/>
    <w:qFormat/>
  </w:style>
  <w:style w:type="character" w:styleId="842" w:customStyle="1">
    <w:name w:val="Текст сноски Знак"/>
    <w:link w:val="866"/>
    <w:uiPriority w:val="99"/>
    <w:qFormat/>
    <w:rPr>
      <w:sz w:val="18"/>
    </w:rPr>
  </w:style>
  <w:style w:type="character" w:styleId="843" w:customStyle="1">
    <w:name w:val="Символ сноски"/>
    <w:basedOn w:val="730"/>
    <w:uiPriority w:val="99"/>
    <w:unhideWhenUsed/>
    <w:qFormat/>
    <w:rPr>
      <w:vertAlign w:val="superscript"/>
    </w:rPr>
  </w:style>
  <w:style w:type="character" w:styleId="844">
    <w:name w:val="footnote reference"/>
    <w:rPr>
      <w:vertAlign w:val="superscript"/>
    </w:rPr>
  </w:style>
  <w:style w:type="character" w:styleId="845" w:customStyle="1">
    <w:name w:val="Текст концевой сноски Знак"/>
    <w:link w:val="867"/>
    <w:uiPriority w:val="99"/>
    <w:qFormat/>
    <w:rPr>
      <w:sz w:val="20"/>
    </w:rPr>
  </w:style>
  <w:style w:type="character" w:styleId="846" w:customStyle="1">
    <w:name w:val="Символ концевой сноски"/>
    <w:basedOn w:val="730"/>
    <w:uiPriority w:val="99"/>
    <w:semiHidden/>
    <w:unhideWhenUsed/>
    <w:qFormat/>
    <w:rPr>
      <w:vertAlign w:val="superscript"/>
    </w:rPr>
  </w:style>
  <w:style w:type="character" w:styleId="847">
    <w:name w:val="endnote reference"/>
    <w:rPr>
      <w:vertAlign w:val="superscript"/>
    </w:rPr>
  </w:style>
  <w:style w:type="character" w:styleId="848" w:customStyle="1">
    <w:name w:val="Основной текст Знак"/>
    <w:basedOn w:val="730"/>
    <w:link w:val="854"/>
    <w:qFormat/>
    <w:rPr>
      <w:rFonts w:ascii="Times New Roman" w:hAnsi="Times New Roman" w:eastAsia="Times New Roman" w:cs="Times New Roman"/>
      <w:sz w:val="20"/>
      <w:szCs w:val="20"/>
    </w:rPr>
  </w:style>
  <w:style w:type="character" w:styleId="849" w:customStyle="1">
    <w:name w:val="Текст выноски Знак"/>
    <w:basedOn w:val="730"/>
    <w:link w:val="880"/>
    <w:uiPriority w:val="99"/>
    <w:semiHidden/>
    <w:qFormat/>
    <w:rPr>
      <w:rFonts w:ascii="Tahoma" w:hAnsi="Tahoma" w:cs="Tahoma"/>
      <w:sz w:val="16"/>
      <w:szCs w:val="16"/>
    </w:rPr>
  </w:style>
  <w:style w:type="character" w:styleId="850" w:customStyle="1">
    <w:name w:val="Основной текст_"/>
    <w:link w:val="881"/>
    <w:qFormat/>
    <w:rPr>
      <w:rFonts w:ascii="Times New Roman" w:hAnsi="Times New Roman" w:eastAsia="Times New Roman" w:cs="Times New Roman"/>
      <w:sz w:val="27"/>
      <w:szCs w:val="27"/>
      <w:shd w:val="clear" w:color="auto" w:fill="ffffff"/>
    </w:rPr>
  </w:style>
  <w:style w:type="character" w:styleId="851">
    <w:name w:val="Hyperlink"/>
    <w:basedOn w:val="730"/>
    <w:uiPriority w:val="99"/>
    <w:semiHidden/>
    <w:unhideWhenUsed/>
    <w:rPr>
      <w:color w:val="0000ff"/>
      <w:u w:val="single"/>
    </w:rPr>
  </w:style>
  <w:style w:type="character" w:styleId="852" w:customStyle="1">
    <w:name w:val="Заголовок 2 Знак"/>
    <w:basedOn w:val="730"/>
    <w:uiPriority w:val="9"/>
    <w:qFormat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53" w:customStyle="1">
    <w:name w:val="Заголовок"/>
    <w:basedOn w:val="720"/>
    <w:next w:val="854"/>
    <w:qFormat/>
    <w:pPr>
      <w:keepNext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854">
    <w:name w:val="Body Text"/>
    <w:basedOn w:val="720"/>
    <w:link w:val="848"/>
    <w:pPr>
      <w:spacing w:after="120" w:line="240" w:lineRule="auto"/>
      <w:widowControl w:val="off"/>
    </w:pPr>
    <w:rPr>
      <w:rFonts w:ascii="Times New Roman" w:hAnsi="Times New Roman" w:eastAsia="Times New Roman" w:cs="Times New Roman"/>
      <w:sz w:val="20"/>
      <w:szCs w:val="20"/>
    </w:rPr>
  </w:style>
  <w:style w:type="paragraph" w:styleId="855">
    <w:name w:val="List"/>
    <w:basedOn w:val="854"/>
    <w:rPr>
      <w:rFonts w:cs="Lohit Devanagari"/>
    </w:rPr>
  </w:style>
  <w:style w:type="paragraph" w:styleId="856">
    <w:name w:val="Caption"/>
    <w:basedOn w:val="720"/>
    <w:link w:val="823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857">
    <w:name w:val="index heading"/>
    <w:basedOn w:val="853"/>
  </w:style>
  <w:style w:type="paragraph" w:styleId="858">
    <w:name w:val="Title"/>
    <w:basedOn w:val="720"/>
    <w:next w:val="720"/>
    <w:link w:val="835"/>
    <w:uiPriority w:val="10"/>
    <w:qFormat/>
    <w:pPr>
      <w:contextualSpacing/>
      <w:spacing w:before="300"/>
    </w:pPr>
    <w:rPr>
      <w:sz w:val="48"/>
      <w:szCs w:val="48"/>
    </w:rPr>
  </w:style>
  <w:style w:type="paragraph" w:styleId="859">
    <w:name w:val="Subtitle"/>
    <w:basedOn w:val="720"/>
    <w:next w:val="720"/>
    <w:link w:val="836"/>
    <w:uiPriority w:val="11"/>
    <w:qFormat/>
    <w:pPr>
      <w:spacing w:before="200"/>
    </w:pPr>
    <w:rPr>
      <w:sz w:val="24"/>
      <w:szCs w:val="24"/>
    </w:rPr>
  </w:style>
  <w:style w:type="paragraph" w:styleId="860">
    <w:name w:val="Quote"/>
    <w:basedOn w:val="720"/>
    <w:next w:val="720"/>
    <w:link w:val="837"/>
    <w:uiPriority w:val="29"/>
    <w:qFormat/>
    <w:pPr>
      <w:ind w:left="720" w:right="720"/>
    </w:pPr>
    <w:rPr>
      <w:i/>
    </w:rPr>
  </w:style>
  <w:style w:type="paragraph" w:styleId="861">
    <w:name w:val="Intense Quote"/>
    <w:basedOn w:val="720"/>
    <w:next w:val="720"/>
    <w:link w:val="83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62" w:customStyle="1">
    <w:name w:val="Колонтитул"/>
    <w:basedOn w:val="720"/>
    <w:qFormat/>
  </w:style>
  <w:style w:type="paragraph" w:styleId="863">
    <w:name w:val="Header"/>
    <w:basedOn w:val="720"/>
    <w:link w:val="83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864">
    <w:name w:val="Footer"/>
    <w:basedOn w:val="720"/>
    <w:link w:val="8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865" w:customStyle="1">
    <w:name w:val="caption1"/>
    <w:basedOn w:val="720"/>
    <w:next w:val="72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866">
    <w:name w:val="footnote text"/>
    <w:basedOn w:val="720"/>
    <w:link w:val="842"/>
    <w:uiPriority w:val="99"/>
    <w:semiHidden/>
    <w:unhideWhenUsed/>
    <w:pPr>
      <w:spacing w:after="40" w:line="240" w:lineRule="auto"/>
    </w:pPr>
    <w:rPr>
      <w:sz w:val="18"/>
    </w:rPr>
  </w:style>
  <w:style w:type="paragraph" w:styleId="867">
    <w:name w:val="endnote text"/>
    <w:basedOn w:val="720"/>
    <w:link w:val="845"/>
    <w:uiPriority w:val="99"/>
    <w:semiHidden/>
    <w:unhideWhenUsed/>
    <w:pPr>
      <w:spacing w:after="0" w:line="240" w:lineRule="auto"/>
    </w:pPr>
    <w:rPr>
      <w:sz w:val="20"/>
    </w:rPr>
  </w:style>
  <w:style w:type="paragraph" w:styleId="868">
    <w:name w:val="toc 1"/>
    <w:basedOn w:val="720"/>
    <w:next w:val="720"/>
    <w:uiPriority w:val="39"/>
    <w:unhideWhenUsed/>
    <w:pPr>
      <w:spacing w:after="57"/>
    </w:pPr>
  </w:style>
  <w:style w:type="paragraph" w:styleId="869">
    <w:name w:val="toc 2"/>
    <w:basedOn w:val="720"/>
    <w:next w:val="720"/>
    <w:uiPriority w:val="39"/>
    <w:unhideWhenUsed/>
    <w:pPr>
      <w:ind w:left="283"/>
      <w:spacing w:after="57"/>
    </w:pPr>
  </w:style>
  <w:style w:type="paragraph" w:styleId="870">
    <w:name w:val="toc 3"/>
    <w:basedOn w:val="720"/>
    <w:next w:val="720"/>
    <w:uiPriority w:val="39"/>
    <w:unhideWhenUsed/>
    <w:pPr>
      <w:ind w:left="567"/>
      <w:spacing w:after="57"/>
    </w:pPr>
  </w:style>
  <w:style w:type="paragraph" w:styleId="871">
    <w:name w:val="toc 4"/>
    <w:basedOn w:val="720"/>
    <w:next w:val="720"/>
    <w:uiPriority w:val="39"/>
    <w:unhideWhenUsed/>
    <w:pPr>
      <w:ind w:left="850"/>
      <w:spacing w:after="57"/>
    </w:pPr>
  </w:style>
  <w:style w:type="paragraph" w:styleId="872">
    <w:name w:val="toc 5"/>
    <w:basedOn w:val="720"/>
    <w:next w:val="720"/>
    <w:uiPriority w:val="39"/>
    <w:unhideWhenUsed/>
    <w:pPr>
      <w:ind w:left="1134"/>
      <w:spacing w:after="57"/>
    </w:pPr>
  </w:style>
  <w:style w:type="paragraph" w:styleId="873">
    <w:name w:val="toc 6"/>
    <w:basedOn w:val="720"/>
    <w:next w:val="720"/>
    <w:uiPriority w:val="39"/>
    <w:unhideWhenUsed/>
    <w:pPr>
      <w:ind w:left="1417"/>
      <w:spacing w:after="57"/>
    </w:pPr>
  </w:style>
  <w:style w:type="paragraph" w:styleId="874">
    <w:name w:val="toc 7"/>
    <w:basedOn w:val="720"/>
    <w:next w:val="720"/>
    <w:uiPriority w:val="39"/>
    <w:unhideWhenUsed/>
    <w:pPr>
      <w:ind w:left="1701"/>
      <w:spacing w:after="57"/>
    </w:pPr>
  </w:style>
  <w:style w:type="paragraph" w:styleId="875">
    <w:name w:val="toc 8"/>
    <w:basedOn w:val="720"/>
    <w:next w:val="720"/>
    <w:uiPriority w:val="39"/>
    <w:unhideWhenUsed/>
    <w:pPr>
      <w:ind w:left="1984"/>
      <w:spacing w:after="57"/>
    </w:pPr>
  </w:style>
  <w:style w:type="paragraph" w:styleId="876">
    <w:name w:val="toc 9"/>
    <w:basedOn w:val="720"/>
    <w:next w:val="720"/>
    <w:uiPriority w:val="39"/>
    <w:unhideWhenUsed/>
    <w:pPr>
      <w:ind w:left="2268"/>
      <w:spacing w:after="57"/>
    </w:pPr>
  </w:style>
  <w:style w:type="paragraph" w:styleId="877">
    <w:name w:val="TOC Heading"/>
    <w:uiPriority w:val="39"/>
    <w:unhideWhenUsed/>
    <w:qFormat/>
    <w:pPr>
      <w:spacing w:after="200" w:line="276" w:lineRule="auto"/>
    </w:pPr>
  </w:style>
  <w:style w:type="paragraph" w:styleId="878">
    <w:name w:val="table of figures"/>
    <w:basedOn w:val="720"/>
    <w:next w:val="720"/>
    <w:uiPriority w:val="99"/>
    <w:unhideWhenUsed/>
    <w:pPr>
      <w:spacing w:after="0"/>
    </w:pPr>
  </w:style>
  <w:style w:type="paragraph" w:styleId="879">
    <w:name w:val="List Paragraph"/>
    <w:basedOn w:val="720"/>
    <w:uiPriority w:val="34"/>
    <w:qFormat/>
    <w:pPr>
      <w:contextualSpacing/>
      <w:ind w:left="720"/>
    </w:pPr>
  </w:style>
  <w:style w:type="paragraph" w:styleId="880">
    <w:name w:val="Balloon Text"/>
    <w:basedOn w:val="720"/>
    <w:link w:val="849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881" w:customStyle="1">
    <w:name w:val="Основной текст2"/>
    <w:basedOn w:val="720"/>
    <w:link w:val="850"/>
    <w:qFormat/>
    <w:pPr>
      <w:jc w:val="both"/>
      <w:spacing w:before="300" w:after="0" w:line="317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7"/>
      <w:szCs w:val="27"/>
    </w:rPr>
  </w:style>
  <w:style w:type="paragraph" w:styleId="882">
    <w:name w:val="Normal (Web)"/>
    <w:basedOn w:val="720"/>
    <w:uiPriority w:val="99"/>
    <w:unhideWhenUsed/>
    <w:qFormat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83">
    <w:name w:val="No Spacing"/>
    <w:uiPriority w:val="1"/>
    <w:qFormat/>
  </w:style>
  <w:style w:type="paragraph" w:styleId="884" w:customStyle="1">
    <w:name w:val="ConsPlusNonformat"/>
    <w:qFormat/>
    <w:pPr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table" w:styleId="885" w:customStyle="1">
    <w:name w:val="Таблица простая 11"/>
    <w:basedOn w:val="73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86" w:customStyle="1">
    <w:name w:val="Таблица простая 21"/>
    <w:basedOn w:val="73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87" w:customStyle="1">
    <w:name w:val="Таблица простая 31"/>
    <w:basedOn w:val="731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88" w:customStyle="1">
    <w:name w:val="Таблица простая 41"/>
    <w:basedOn w:val="731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89" w:customStyle="1">
    <w:name w:val="Таблица простая 51"/>
    <w:basedOn w:val="731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90" w:customStyle="1">
    <w:name w:val="Таблица-сетка 1 светлая1"/>
    <w:basedOn w:val="73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1" w:customStyle="1">
    <w:name w:val="Таблица-сетка 21"/>
    <w:basedOn w:val="73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Таблица-сетка 31"/>
    <w:basedOn w:val="73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Таблица-сетка 41"/>
    <w:basedOn w:val="73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94" w:customStyle="1">
    <w:name w:val="Таблица-сетка 5 темная1"/>
    <w:basedOn w:val="73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95" w:customStyle="1">
    <w:name w:val="Таблица-сетка 6 цветная1"/>
    <w:basedOn w:val="73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96" w:customStyle="1">
    <w:name w:val="Таблица-сетка 7 цветная1"/>
    <w:basedOn w:val="73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Список-таблица 1 светлая1"/>
    <w:basedOn w:val="731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Список-таблица 21"/>
    <w:basedOn w:val="73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99" w:customStyle="1">
    <w:name w:val="Список-таблица 31"/>
    <w:basedOn w:val="73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0" w:customStyle="1">
    <w:name w:val="Список-таблица 41"/>
    <w:basedOn w:val="73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1" w:customStyle="1">
    <w:name w:val="Список-таблица 5 темная1"/>
    <w:basedOn w:val="73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2" w:customStyle="1">
    <w:name w:val="Список-таблица 6 цветная1"/>
    <w:basedOn w:val="73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03" w:customStyle="1">
    <w:name w:val="Список-таблица 7 цветная1"/>
    <w:basedOn w:val="73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Таблица простая 11"/>
    <w:basedOn w:val="73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05" w:customStyle="1">
    <w:name w:val="Заголовок 2 Знак1"/>
    <w:basedOn w:val="731"/>
    <w:link w:val="72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06" w:customStyle="1">
    <w:name w:val="Таблица простая 31"/>
    <w:basedOn w:val="731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907" w:customStyle="1">
    <w:name w:val="Таблица простая 41"/>
    <w:basedOn w:val="731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908" w:customStyle="1">
    <w:name w:val="Таблица простая 51"/>
    <w:basedOn w:val="731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09" w:customStyle="1">
    <w:name w:val="Таблица-сетка 1 светлая1"/>
    <w:basedOn w:val="73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0" w:customStyle="1">
    <w:name w:val="Таблица-сетка 21"/>
    <w:basedOn w:val="73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 w:customStyle="1">
    <w:name w:val="Таблица-сетка 31"/>
    <w:basedOn w:val="73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 w:customStyle="1">
    <w:name w:val="Таблица-сетка 41"/>
    <w:basedOn w:val="73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13" w:customStyle="1">
    <w:name w:val="Таблица-сетка 5 темная1"/>
    <w:basedOn w:val="73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914" w:customStyle="1">
    <w:name w:val="Таблица-сетка 6 цветная1"/>
    <w:basedOn w:val="73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15" w:customStyle="1">
    <w:name w:val="Таблица-сетка 7 цветная1"/>
    <w:basedOn w:val="73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6" w:customStyle="1">
    <w:name w:val="Список-таблица 1 светлая1"/>
    <w:basedOn w:val="731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 w:customStyle="1">
    <w:name w:val="Список-таблица 21"/>
    <w:basedOn w:val="73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18" w:customStyle="1">
    <w:name w:val="Список-таблица 31"/>
    <w:basedOn w:val="73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9" w:customStyle="1">
    <w:name w:val="Список-таблица 41"/>
    <w:basedOn w:val="73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0" w:customStyle="1">
    <w:name w:val="Список-таблица 5 темная1"/>
    <w:basedOn w:val="73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1" w:customStyle="1">
    <w:name w:val="Список-таблица 6 цветная1"/>
    <w:basedOn w:val="73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22" w:customStyle="1">
    <w:name w:val="Список-таблица 7 цветная1"/>
    <w:basedOn w:val="73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3">
    <w:name w:val="Table Grid"/>
    <w:basedOn w:val="73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4" w:customStyle="1">
    <w:name w:val="Table Grid Light"/>
    <w:basedOn w:val="73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25" w:customStyle="1">
    <w:name w:val="Таблица простая 11"/>
    <w:basedOn w:val="73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26" w:customStyle="1">
    <w:name w:val="Таблица простая 21"/>
    <w:basedOn w:val="73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27" w:customStyle="1">
    <w:name w:val="Таблица простая 31"/>
    <w:basedOn w:val="731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928" w:customStyle="1">
    <w:name w:val="Таблица простая 41"/>
    <w:basedOn w:val="731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929" w:customStyle="1">
    <w:name w:val="Таблица простая 51"/>
    <w:basedOn w:val="731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30" w:customStyle="1">
    <w:name w:val="Таблица-сетка 1 светлая1"/>
    <w:basedOn w:val="73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1" w:customStyle="1">
    <w:name w:val="Grid Table 1 Light - Accent 1"/>
    <w:basedOn w:val="73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2" w:customStyle="1">
    <w:name w:val="Grid Table 1 Light - Accent 2"/>
    <w:basedOn w:val="73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3" w:customStyle="1">
    <w:name w:val="Grid Table 1 Light - Accent 3"/>
    <w:basedOn w:val="73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4" w:customStyle="1">
    <w:name w:val="Grid Table 1 Light - Accent 4"/>
    <w:basedOn w:val="73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5" w:customStyle="1">
    <w:name w:val="Grid Table 1 Light - Accent 5"/>
    <w:basedOn w:val="73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6" w:customStyle="1">
    <w:name w:val="Grid Table 1 Light - Accent 6"/>
    <w:basedOn w:val="73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7" w:customStyle="1">
    <w:name w:val="Таблица-сетка 21"/>
    <w:basedOn w:val="73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8" w:customStyle="1">
    <w:name w:val="Grid Table 2 - Accent 1"/>
    <w:basedOn w:val="73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sz w:val="22"/>
      </w:rPr>
      <w:tcPr>
        <w:shd w:val="clear" w:color="dae5f1" w:fill="dae5f1" w:themeFill="accent1" w:themeFillTint="34"/>
      </w:tcPr>
    </w:tblStylePr>
    <w:tblStylePr w:type="band1Vert">
      <w:rPr>
        <w:sz w:val="22"/>
      </w:rPr>
      <w:tcPr>
        <w:shd w:val="clear" w:color="dae5f1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9" w:customStyle="1">
    <w:name w:val="Grid Table 2 - Accent 2"/>
    <w:basedOn w:val="73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0" w:customStyle="1">
    <w:name w:val="Grid Table 2 - Accent 3"/>
    <w:basedOn w:val="73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1" w:customStyle="1">
    <w:name w:val="Grid Table 2 - Accent 4"/>
    <w:basedOn w:val="73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2" w:customStyle="1">
    <w:name w:val="Grid Table 2 - Accent 5"/>
    <w:basedOn w:val="73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3" w:customStyle="1">
    <w:name w:val="Grid Table 2 - Accent 6"/>
    <w:basedOn w:val="73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4" w:customStyle="1">
    <w:name w:val="Таблица-сетка 31"/>
    <w:basedOn w:val="73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5" w:customStyle="1">
    <w:name w:val="Grid Table 3 - Accent 1"/>
    <w:basedOn w:val="73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sz w:val="22"/>
      </w:rPr>
      <w:tcPr>
        <w:shd w:val="clear" w:color="dae5f1" w:fill="dae5f1" w:themeFill="accent1" w:themeFillTint="34"/>
      </w:tcPr>
    </w:tblStylePr>
    <w:tblStylePr w:type="band1Vert">
      <w:rPr>
        <w:sz w:val="22"/>
      </w:rPr>
      <w:tcPr>
        <w:shd w:val="clear" w:color="dae5f1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6" w:customStyle="1">
    <w:name w:val="Grid Table 3 - Accent 2"/>
    <w:basedOn w:val="73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 w:customStyle="1">
    <w:name w:val="Grid Table 3 - Accent 3"/>
    <w:basedOn w:val="73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 w:customStyle="1">
    <w:name w:val="Grid Table 3 - Accent 4"/>
    <w:basedOn w:val="73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 w:customStyle="1">
    <w:name w:val="Grid Table 3 - Accent 5"/>
    <w:basedOn w:val="73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 w:customStyle="1">
    <w:name w:val="Grid Table 3 - Accent 6"/>
    <w:basedOn w:val="73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 w:customStyle="1">
    <w:name w:val="Таблица-сетка 41"/>
    <w:basedOn w:val="73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52" w:customStyle="1">
    <w:name w:val="Grid Table 4 - Accent 1"/>
    <w:basedOn w:val="73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ce6f2" w:fill="dce6f2" w:themeFill="accent1" w:themeFillTint="32"/>
      </w:tcPr>
    </w:tblStylePr>
    <w:tblStylePr w:type="band1Vert">
      <w:rPr>
        <w:sz w:val="22"/>
      </w:rPr>
      <w:tcPr>
        <w:shd w:val="clear" w:color="dce6f2" w:fill="dce6f2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d8ac2" w:fill="5d8ac2" w:themeFill="accent1" w:themeFillTint="EA"/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</w:tcBorders>
      </w:tcPr>
    </w:tblStylePr>
  </w:style>
  <w:style w:type="table" w:styleId="953" w:customStyle="1">
    <w:name w:val="Grid Table 4 - Accent 2"/>
    <w:basedOn w:val="73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695" w:fill="d99695" w:themeFill="accent2" w:themeFillTint="97"/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</w:tcBorders>
      </w:tcPr>
    </w:tblStylePr>
  </w:style>
  <w:style w:type="table" w:styleId="954" w:customStyle="1">
    <w:name w:val="Grid Table 4 - Accent 3"/>
    <w:basedOn w:val="73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abb59" w:fill="9abb59" w:themeFill="accent3" w:themeFillTint="FE"/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</w:tcBorders>
      </w:tcPr>
    </w:tblStylePr>
  </w:style>
  <w:style w:type="table" w:styleId="955" w:customStyle="1">
    <w:name w:val="Grid Table 4 - Accent 4"/>
    <w:basedOn w:val="73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 w:themeFill="accent4" w:themeFillTint="9A"/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</w:tcBorders>
      </w:tcPr>
    </w:tblStylePr>
  </w:style>
  <w:style w:type="table" w:styleId="956" w:customStyle="1">
    <w:name w:val="Grid Table 4 - Accent 5"/>
    <w:basedOn w:val="73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</w:tcBorders>
      </w:tcPr>
    </w:tblStylePr>
  </w:style>
  <w:style w:type="table" w:styleId="957" w:customStyle="1">
    <w:name w:val="Grid Table 4 - Accent 6"/>
    <w:basedOn w:val="73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</w:tcBorders>
      </w:tcPr>
    </w:tblStylePr>
  </w:style>
  <w:style w:type="table" w:styleId="958" w:customStyle="1">
    <w:name w:val="Таблица-сетка 5 темная1"/>
    <w:basedOn w:val="73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959" w:customStyle="1">
    <w:name w:val="Grid Table 5 Dark- Accent 1"/>
    <w:basedOn w:val="73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ec4e0" w:fill="aec4e0" w:themeFill="accent1" w:themeFillTint="75"/>
      </w:tcPr>
    </w:tblStylePr>
    <w:tblStylePr w:type="band1Vert">
      <w:tcPr>
        <w:shd w:val="clear" w:color="aec4e0" w:fill="aec4e0" w:themeFill="accent1" w:themeFillTint="75"/>
      </w:tcPr>
    </w:tblStylePr>
    <w:tblStylePr w:type="firstCol">
      <w:rPr>
        <w:b/>
        <w:sz w:val="22"/>
      </w:rPr>
      <w:tcPr>
        <w:shd w:val="clear" w:color="4f81bd" w:fill="4f81bd" w:themeFill="accent1"/>
      </w:tc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  <w:sz w:val="22"/>
      </w:rPr>
      <w:tcPr>
        <w:shd w:val="clear" w:color="4f81bd" w:fill="4f81bd" w:themeFill="accent1"/>
      </w:tcPr>
    </w:tblStylePr>
    <w:tblStylePr w:type="lastRow">
      <w:rPr>
        <w:b/>
        <w:sz w:val="22"/>
      </w:rPr>
      <w:tcPr>
        <w:shd w:val="clear" w:color="4f81bd" w:fill="4f81bd" w:themeFill="accent1"/>
        <w:tcBorders>
          <w:top w:val="single" w:color="FFFFFF" w:themeColor="light1" w:sz="4" w:space="0"/>
        </w:tcBorders>
      </w:tcPr>
    </w:tblStylePr>
  </w:style>
  <w:style w:type="table" w:styleId="960" w:customStyle="1">
    <w:name w:val="Grid Table 5 Dark - Accent 2"/>
    <w:basedOn w:val="73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e2aead" w:fill="e2aead" w:themeFill="accent2" w:themeFillTint="75"/>
      </w:tcPr>
    </w:tblStylePr>
    <w:tblStylePr w:type="band1Vert">
      <w:tcPr>
        <w:shd w:val="clear" w:color="e2aead" w:fill="e2aead" w:themeFill="accent2" w:themeFillTint="75"/>
      </w:tcPr>
    </w:tblStylePr>
    <w:tblStylePr w:type="firstCol">
      <w:rPr>
        <w:b/>
        <w:sz w:val="22"/>
      </w:rPr>
      <w:tcPr>
        <w:shd w:val="clear" w:color="c0504d" w:fill="c0504d" w:themeFill="accent2"/>
      </w:tcPr>
    </w:tblStylePr>
    <w:tblStylePr w:type="firstRow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  <w:sz w:val="22"/>
      </w:rPr>
      <w:tcPr>
        <w:shd w:val="clear" w:color="c0504d" w:fill="c0504d" w:themeFill="accent2"/>
      </w:tcPr>
    </w:tblStylePr>
    <w:tblStylePr w:type="lastRow">
      <w:rPr>
        <w:b/>
        <w:sz w:val="22"/>
      </w:rPr>
      <w:tcPr>
        <w:shd w:val="clear" w:color="c0504d" w:fill="c0504d" w:themeFill="accent2"/>
        <w:tcBorders>
          <w:top w:val="single" w:color="FFFFFF" w:themeColor="light1" w:sz="4" w:space="0"/>
        </w:tcBorders>
      </w:tcPr>
    </w:tblStylePr>
  </w:style>
  <w:style w:type="table" w:styleId="961" w:customStyle="1">
    <w:name w:val="Grid Table 5 Dark - Accent 3"/>
    <w:basedOn w:val="73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0dfb2" w:fill="d0dfb2" w:themeFill="accent3" w:themeFillTint="75"/>
      </w:tcPr>
    </w:tblStylePr>
    <w:tblStylePr w:type="band1Vert">
      <w:tcPr>
        <w:shd w:val="clear" w:color="d0dfb2" w:fill="d0dfb2" w:themeFill="accent3" w:themeFillTint="75"/>
      </w:tcPr>
    </w:tblStylePr>
    <w:tblStylePr w:type="firstCol">
      <w:rPr>
        <w:b/>
        <w:sz w:val="22"/>
      </w:rPr>
      <w:tcPr>
        <w:shd w:val="clear" w:color="9bbb59" w:fill="9bbb59" w:themeFill="accent3"/>
      </w:tcPr>
    </w:tblStylePr>
    <w:tblStylePr w:type="firstRow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  <w:sz w:val="22"/>
      </w:rPr>
      <w:tcPr>
        <w:shd w:val="clear" w:color="9bbb59" w:fill="9bbb59" w:themeFill="accent3"/>
      </w:tcPr>
    </w:tblStylePr>
    <w:tblStylePr w:type="lastRow">
      <w:rPr>
        <w:b/>
        <w:sz w:val="22"/>
      </w:rPr>
      <w:tcPr>
        <w:shd w:val="clear" w:color="9bbb59" w:fill="9bbb59" w:themeFill="accent3"/>
        <w:tcBorders>
          <w:top w:val="single" w:color="FFFFFF" w:themeColor="light1" w:sz="4" w:space="0"/>
        </w:tcBorders>
      </w:tcPr>
    </w:tblStylePr>
  </w:style>
  <w:style w:type="table" w:styleId="962" w:customStyle="1">
    <w:name w:val="Grid Table 5 Dark- Accent 4"/>
    <w:basedOn w:val="73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c4b7d4" w:fill="c4b7d4" w:themeFill="accent4" w:themeFillTint="75"/>
      </w:tcPr>
    </w:tblStylePr>
    <w:tblStylePr w:type="band1Vert">
      <w:tcPr>
        <w:shd w:val="clear" w:color="c4b7d4" w:fill="c4b7d4" w:themeFill="accent4" w:themeFillTint="75"/>
      </w:tcPr>
    </w:tblStylePr>
    <w:tblStylePr w:type="firstCol">
      <w:rPr>
        <w:b/>
        <w:sz w:val="22"/>
      </w:rPr>
      <w:tcPr>
        <w:shd w:val="clear" w:color="8064a2" w:fill="8064a2" w:themeFill="accent4"/>
      </w:tcPr>
    </w:tblStylePr>
    <w:tblStylePr w:type="firstRow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  <w:sz w:val="22"/>
      </w:rPr>
      <w:tcPr>
        <w:shd w:val="clear" w:color="8064a2" w:fill="8064a2" w:themeFill="accent4"/>
      </w:tcPr>
    </w:tblStylePr>
    <w:tblStylePr w:type="lastRow">
      <w:rPr>
        <w:b/>
        <w:sz w:val="22"/>
      </w:rPr>
      <w:tcPr>
        <w:shd w:val="clear" w:color="8064a2" w:fill="8064a2" w:themeFill="accent4"/>
        <w:tcBorders>
          <w:top w:val="single" w:color="FFFFFF" w:themeColor="light1" w:sz="4" w:space="0"/>
        </w:tcBorders>
      </w:tcPr>
    </w:tblStylePr>
  </w:style>
  <w:style w:type="table" w:styleId="963" w:customStyle="1">
    <w:name w:val="Grid Table 5 Dark - Accent 5"/>
    <w:basedOn w:val="73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cd8e4" w:fill="acd8e4" w:themeFill="accent5" w:themeFillTint="75"/>
      </w:tcPr>
    </w:tblStylePr>
    <w:tblStylePr w:type="band1Vert">
      <w:tcPr>
        <w:shd w:val="clear" w:color="acd8e4" w:fill="acd8e4" w:themeFill="accent5" w:themeFillTint="75"/>
      </w:tcPr>
    </w:tblStylePr>
    <w:tblStylePr w:type="firstCol">
      <w:rPr>
        <w:b/>
        <w:sz w:val="22"/>
      </w:rPr>
      <w:tcPr>
        <w:shd w:val="clear" w:color="4bacc6" w:fill="4bacc6" w:themeFill="accent5"/>
      </w:tcPr>
    </w:tblStylePr>
    <w:tblStylePr w:type="firstRow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  <w:sz w:val="22"/>
      </w:rPr>
      <w:tcPr>
        <w:shd w:val="clear" w:color="4bacc6" w:fill="4bacc6" w:themeFill="accent5"/>
      </w:tcPr>
    </w:tblStylePr>
    <w:tblStylePr w:type="lastRow">
      <w:rPr>
        <w:b/>
        <w:sz w:val="22"/>
      </w:rPr>
      <w:tcPr>
        <w:shd w:val="clear" w:color="4bacc6" w:fill="4bacc6" w:themeFill="accent5"/>
        <w:tcBorders>
          <w:top w:val="single" w:color="FFFFFF" w:themeColor="light1" w:sz="4" w:space="0"/>
        </w:tcBorders>
      </w:tcPr>
    </w:tblStylePr>
  </w:style>
  <w:style w:type="table" w:styleId="964" w:customStyle="1">
    <w:name w:val="Grid Table 5 Dark - Accent 6"/>
    <w:basedOn w:val="73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bceaa" w:fill="fbceaa" w:themeFill="accent6" w:themeFillTint="75"/>
      </w:tcPr>
    </w:tblStylePr>
    <w:tblStylePr w:type="band1Vert">
      <w:tcPr>
        <w:shd w:val="clear" w:color="fbceaa" w:fill="fbceaa" w:themeFill="accent6" w:themeFillTint="75"/>
      </w:tcPr>
    </w:tblStylePr>
    <w:tblStylePr w:type="firstCol">
      <w:rPr>
        <w:b/>
        <w:sz w:val="22"/>
      </w:rPr>
      <w:tcPr>
        <w:shd w:val="clear" w:color="f79646" w:fill="f79646" w:themeFill="accent6"/>
      </w:tcPr>
    </w:tblStylePr>
    <w:tblStylePr w:type="firstRow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  <w:sz w:val="22"/>
      </w:rPr>
      <w:tcPr>
        <w:shd w:val="clear" w:color="f79646" w:fill="f79646" w:themeFill="accent6"/>
      </w:tcPr>
    </w:tblStylePr>
    <w:tblStylePr w:type="lastRow">
      <w:rPr>
        <w:b/>
        <w:sz w:val="22"/>
      </w:rPr>
      <w:tcPr>
        <w:shd w:val="clear" w:color="f79646" w:fill="f79646" w:themeFill="accent6"/>
        <w:tcBorders>
          <w:top w:val="single" w:color="FFFFFF" w:themeColor="light1" w:sz="4" w:space="0"/>
        </w:tcBorders>
      </w:tcPr>
    </w:tblStylePr>
  </w:style>
  <w:style w:type="table" w:styleId="965" w:customStyle="1">
    <w:name w:val="Таблица-сетка 6 цветная1"/>
    <w:basedOn w:val="73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66" w:customStyle="1">
    <w:name w:val="Grid Table 6 Colorful - Accent 1"/>
    <w:basedOn w:val="73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967" w:customStyle="1">
    <w:name w:val="Grid Table 6 Colorful - Accent 2"/>
    <w:basedOn w:val="73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968" w:customStyle="1">
    <w:name w:val="Grid Table 6 Colorful - Accent 3"/>
    <w:basedOn w:val="73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969" w:customStyle="1">
    <w:name w:val="Grid Table 6 Colorful - Accent 4"/>
    <w:basedOn w:val="73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970" w:customStyle="1">
    <w:name w:val="Grid Table 6 Colorful - Accent 5"/>
    <w:basedOn w:val="73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71" w:customStyle="1">
    <w:name w:val="Grid Table 6 Colorful - Accent 6"/>
    <w:basedOn w:val="73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72" w:customStyle="1">
    <w:name w:val="Таблица-сетка 7 цветная1"/>
    <w:basedOn w:val="73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3" w:customStyle="1">
    <w:name w:val="Grid Table 7 Colorful - Accent 1"/>
    <w:basedOn w:val="73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4" w:customStyle="1">
    <w:name w:val="Grid Table 7 Colorful - Accent 2"/>
    <w:basedOn w:val="73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5" w:customStyle="1">
    <w:name w:val="Grid Table 7 Colorful - Accent 3"/>
    <w:basedOn w:val="73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6" w:customStyle="1">
    <w:name w:val="Grid Table 7 Colorful - Accent 4"/>
    <w:basedOn w:val="73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7" w:customStyle="1">
    <w:name w:val="Grid Table 7 Colorful - Accent 5"/>
    <w:basedOn w:val="73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8" w:customStyle="1">
    <w:name w:val="Grid Table 7 Colorful - Accent 6"/>
    <w:basedOn w:val="73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color w:val="b15407" w:themeColor="accent6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9" w:customStyle="1">
    <w:name w:val="Список-таблица 1 светлая1"/>
    <w:basedOn w:val="731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0" w:customStyle="1">
    <w:name w:val="List Table 1 Light - Accent 1"/>
    <w:basedOn w:val="731"/>
    <w:uiPriority w:val="99"/>
    <w:tblPr>
      <w:tblStyleRowBandSize w:val="1"/>
      <w:tblStyleColBandSize w:val="1"/>
    </w:tblPr>
    <w:tblStylePr w:type="band1Horz"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1" w:customStyle="1">
    <w:name w:val="List Table 1 Light - Accent 2"/>
    <w:basedOn w:val="731"/>
    <w:uiPriority w:val="99"/>
    <w:tblPr>
      <w:tblStyleRowBandSize w:val="1"/>
      <w:tblStyleColBandSize w:val="1"/>
    </w:tblPr>
    <w:tblStylePr w:type="band1Horz"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2" w:customStyle="1">
    <w:name w:val="List Table 1 Light - Accent 3"/>
    <w:basedOn w:val="731"/>
    <w:uiPriority w:val="99"/>
    <w:tblPr>
      <w:tblStyleRowBandSize w:val="1"/>
      <w:tblStyleColBandSize w:val="1"/>
    </w:tblPr>
    <w:tblStylePr w:type="band1Horz"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3" w:customStyle="1">
    <w:name w:val="List Table 1 Light - Accent 4"/>
    <w:basedOn w:val="731"/>
    <w:uiPriority w:val="99"/>
    <w:tblPr>
      <w:tblStyleRowBandSize w:val="1"/>
      <w:tblStyleColBandSize w:val="1"/>
    </w:tblPr>
    <w:tblStylePr w:type="band1Horz"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4" w:customStyle="1">
    <w:name w:val="List Table 1 Light - Accent 5"/>
    <w:basedOn w:val="731"/>
    <w:uiPriority w:val="99"/>
    <w:tblPr>
      <w:tblStyleRowBandSize w:val="1"/>
      <w:tblStyleColBandSize w:val="1"/>
    </w:tblPr>
    <w:tblStylePr w:type="band1Horz"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5" w:customStyle="1">
    <w:name w:val="List Table 1 Light - Accent 6"/>
    <w:basedOn w:val="731"/>
    <w:uiPriority w:val="99"/>
    <w:tblPr>
      <w:tblStyleRowBandSize w:val="1"/>
      <w:tblStyleColBandSize w:val="1"/>
    </w:tblPr>
    <w:tblStylePr w:type="band1Horz"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6" w:customStyle="1">
    <w:name w:val="Список-таблица 21"/>
    <w:basedOn w:val="73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87" w:customStyle="1">
    <w:name w:val="List Table 2 - Accent 1"/>
    <w:basedOn w:val="73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2dfee" w:fill="d2dfee" w:themeFill="accent1" w:themeFillTint="40"/>
      </w:tc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</w:style>
  <w:style w:type="table" w:styleId="988" w:customStyle="1">
    <w:name w:val="List Table 2 - Accent 2"/>
    <w:basedOn w:val="73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sz w:val="22"/>
      </w:rPr>
      <w:tcPr>
        <w:shd w:val="clear" w:color="efd2d2" w:fill="efd2d2" w:themeFill="accent2" w:themeFillTint="40"/>
      </w:tcPr>
    </w:tblStylePr>
    <w:tblStylePr w:type="band1Vert">
      <w:rPr>
        <w:sz w:val="22"/>
      </w:rPr>
      <w:tcPr>
        <w:shd w:val="clear" w:color="efd2d2" w:fill="efd2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</w:style>
  <w:style w:type="table" w:styleId="989" w:customStyle="1">
    <w:name w:val="List Table 2 - Accent 3"/>
    <w:basedOn w:val="73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5eed5" w:fill="e5eed5" w:themeFill="accent3" w:themeFillTint="40"/>
      </w:tcPr>
    </w:tblStylePr>
    <w:tblStylePr w:type="band1Vert">
      <w:rPr>
        <w:sz w:val="22"/>
      </w:rPr>
      <w:tcPr>
        <w:shd w:val="clear" w:color="e5eed5" w:fill="e5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</w:style>
  <w:style w:type="table" w:styleId="990" w:customStyle="1">
    <w:name w:val="List Table 2 - Accent 4"/>
    <w:basedOn w:val="73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dfd8e7" w:fill="dfd8e7" w:themeFill="accent4" w:themeFillTint="40"/>
      </w:tc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</w:style>
  <w:style w:type="table" w:styleId="991" w:customStyle="1">
    <w:name w:val="List Table 2 - Accent 5"/>
    <w:basedOn w:val="73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1eaf0" w:fill="d1eaf0" w:themeFill="accent5" w:themeFillTint="40"/>
      </w:tc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</w:style>
  <w:style w:type="table" w:styleId="992" w:customStyle="1">
    <w:name w:val="List Table 2 - Accent 6"/>
    <w:basedOn w:val="73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de4d0" w:fill="fde4d0" w:themeFill="accent6" w:themeFillTint="40"/>
      </w:tcPr>
    </w:tblStylePr>
    <w:tblStylePr w:type="band1Vert">
      <w:rPr>
        <w:sz w:val="22"/>
      </w:rPr>
      <w:tcPr>
        <w:shd w:val="clear" w:color="fde4d0" w:fill="fde4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</w:style>
  <w:style w:type="table" w:styleId="993" w:customStyle="1">
    <w:name w:val="Список-таблица 31"/>
    <w:basedOn w:val="73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4" w:customStyle="1">
    <w:name w:val="List Table 3 - Accent 1"/>
    <w:basedOn w:val="73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5" w:customStyle="1">
    <w:name w:val="List Table 3 - Accent 2"/>
    <w:basedOn w:val="73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695" w:fill="d9969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6" w:customStyle="1">
    <w:name w:val="List Table 3 - Accent 3"/>
    <w:basedOn w:val="73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3d69b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7" w:customStyle="1">
    <w:name w:val="List Table 3 - Accent 4"/>
    <w:basedOn w:val="73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8" w:customStyle="1">
    <w:name w:val="List Table 3 - Accent 5"/>
    <w:basedOn w:val="73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2ccdc" w:fill="92cc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9" w:customStyle="1">
    <w:name w:val="List Table 3 - Accent 6"/>
    <w:basedOn w:val="73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ac090" w:fill="fac0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0" w:customStyle="1">
    <w:name w:val="Список-таблица 41"/>
    <w:basedOn w:val="73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1" w:customStyle="1">
    <w:name w:val="List Table 4 - Accent 1"/>
    <w:basedOn w:val="73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2dfee" w:fill="d2dfee" w:themeFill="accent1" w:themeFillTint="40"/>
      </w:tc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2" w:customStyle="1">
    <w:name w:val="List Table 4 - Accent 2"/>
    <w:basedOn w:val="73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sz w:val="22"/>
      </w:rPr>
      <w:tcPr>
        <w:shd w:val="clear" w:color="efd2d2" w:fill="efd2d2" w:themeFill="accent2" w:themeFillTint="40"/>
      </w:tcPr>
    </w:tblStylePr>
    <w:tblStylePr w:type="band1Vert">
      <w:rPr>
        <w:sz w:val="22"/>
      </w:rPr>
      <w:tcPr>
        <w:shd w:val="clear" w:color="efd2d2" w:fill="efd2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3" w:customStyle="1">
    <w:name w:val="List Table 4 - Accent 3"/>
    <w:basedOn w:val="73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5eed5" w:fill="e5eed5" w:themeFill="accent3" w:themeFillTint="40"/>
      </w:tcPr>
    </w:tblStylePr>
    <w:tblStylePr w:type="band1Vert">
      <w:rPr>
        <w:sz w:val="22"/>
      </w:rPr>
      <w:tcPr>
        <w:shd w:val="clear" w:color="e5eed5" w:fill="e5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4" w:customStyle="1">
    <w:name w:val="List Table 4 - Accent 4"/>
    <w:basedOn w:val="73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dfd8e7" w:fill="dfd8e7" w:themeFill="accent4" w:themeFillTint="40"/>
      </w:tc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5" w:customStyle="1">
    <w:name w:val="List Table 4 - Accent 5"/>
    <w:basedOn w:val="73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1eaf0" w:fill="d1eaf0" w:themeFill="accent5" w:themeFillTint="40"/>
      </w:tc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6" w:customStyle="1">
    <w:name w:val="List Table 4 - Accent 6"/>
    <w:basedOn w:val="73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de4d0" w:fill="fde4d0" w:themeFill="accent6" w:themeFillTint="40"/>
      </w:tcPr>
    </w:tblStylePr>
    <w:tblStylePr w:type="band1Vert">
      <w:rPr>
        <w:sz w:val="22"/>
      </w:rPr>
      <w:tcPr>
        <w:shd w:val="clear" w:color="fde4d0" w:fill="fde4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7" w:customStyle="1">
    <w:name w:val="Список-таблица 5 темная1"/>
    <w:basedOn w:val="73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08" w:customStyle="1">
    <w:name w:val="List Table 5 Dark - Accent 1"/>
    <w:basedOn w:val="73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band1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4f81bd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09" w:customStyle="1">
    <w:name w:val="List Table 5 Dark - Accent 2"/>
    <w:basedOn w:val="73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band1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d99695" w:fill="d99695" w:themeFill="accent2" w:themeFillTint="97"/>
        <w:tcBorders>
          <w:top w:val="single" w:color="C0504D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10" w:customStyle="1">
    <w:name w:val="List Table 5 Dark - Accent 3"/>
    <w:basedOn w:val="73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band1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3d69b" w:fill="c3d69b" w:themeFill="accent3" w:themeFillTint="98"/>
        <w:tcBorders>
          <w:top w:val="single" w:color="9BBB5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11" w:customStyle="1">
    <w:name w:val="List Table 5 Dark - Accent 4"/>
    <w:basedOn w:val="73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band1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b2a1c6" w:fill="b2a1c6" w:themeFill="accent4" w:themeFillTint="9A"/>
        <w:tcBorders>
          <w:top w:val="single" w:color="8064A2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12" w:customStyle="1">
    <w:name w:val="List Table 5 Dark - Accent 5"/>
    <w:basedOn w:val="73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band1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92ccdc" w:fill="92ccdc" w:themeFill="accent5" w:themeFillTint="9A"/>
        <w:tcBorders>
          <w:top w:val="single" w:color="4BACC6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13" w:customStyle="1">
    <w:name w:val="List Table 5 Dark - Accent 6"/>
    <w:basedOn w:val="73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band1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ac090" w:fill="fac090" w:themeFill="accent6" w:themeFillTint="98"/>
        <w:tcBorders>
          <w:top w:val="single" w:color="F79646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14" w:customStyle="1">
    <w:name w:val="Список-таблица 6 цветная1"/>
    <w:basedOn w:val="73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1015" w:customStyle="1">
    <w:name w:val="List Table 6 Colorful - Accent 1"/>
    <w:basedOn w:val="73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016" w:customStyle="1">
    <w:name w:val="List Table 6 Colorful - Accent 2"/>
    <w:basedOn w:val="73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C0504D" w:themeColor="accent2" w:sz="4" w:space="0"/>
        </w:tcBorders>
      </w:tcPr>
    </w:tblStylePr>
  </w:style>
  <w:style w:type="table" w:styleId="1017" w:customStyle="1">
    <w:name w:val="List Table 6 Colorful - Accent 3"/>
    <w:basedOn w:val="73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9BBB59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9BBB59" w:themeColor="accent3" w:sz="4" w:space="0"/>
        </w:tcBorders>
      </w:tcPr>
    </w:tblStylePr>
  </w:style>
  <w:style w:type="table" w:styleId="1018" w:customStyle="1">
    <w:name w:val="List Table 6 Colorful - Accent 4"/>
    <w:basedOn w:val="73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8064A2" w:themeColor="accent4" w:sz="4" w:space="0"/>
        </w:tcBorders>
      </w:tcPr>
    </w:tblStylePr>
  </w:style>
  <w:style w:type="table" w:styleId="1019" w:customStyle="1">
    <w:name w:val="List Table 6 Colorful - Accent 5"/>
    <w:basedOn w:val="73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4BACC6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4BACC6" w:themeColor="accent5" w:sz="4" w:space="0"/>
        </w:tcBorders>
      </w:tcPr>
    </w:tblStylePr>
  </w:style>
  <w:style w:type="table" w:styleId="1020" w:customStyle="1">
    <w:name w:val="List Table 6 Colorful - Accent 6"/>
    <w:basedOn w:val="73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79646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79646" w:themeColor="accent6" w:sz="4" w:space="0"/>
        </w:tcBorders>
      </w:tcPr>
    </w:tblStylePr>
  </w:style>
  <w:style w:type="table" w:styleId="1021" w:customStyle="1">
    <w:name w:val="Список-таблица 7 цветная1"/>
    <w:basedOn w:val="73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22" w:customStyle="1">
    <w:name w:val="List Table 7 Colorful - Accent 1"/>
    <w:basedOn w:val="731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23" w:customStyle="1">
    <w:name w:val="List Table 7 Colorful - Accent 2"/>
    <w:basedOn w:val="73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24" w:customStyle="1">
    <w:name w:val="List Table 7 Colorful - Accent 3"/>
    <w:basedOn w:val="73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25" w:customStyle="1">
    <w:name w:val="List Table 7 Colorful - Accent 4"/>
    <w:basedOn w:val="73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26" w:customStyle="1">
    <w:name w:val="List Table 7 Colorful - Accent 5"/>
    <w:basedOn w:val="73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27" w:customStyle="1">
    <w:name w:val="List Table 7 Colorful - Accent 6"/>
    <w:basedOn w:val="73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28" w:customStyle="1">
    <w:name w:val="Lined - Accent"/>
    <w:basedOn w:val="73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 w:themeFill="text1" w:themeFillTint="0D"/>
      </w:tcPr>
    </w:tblStylePr>
    <w:tblStylePr w:type="band2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1029" w:customStyle="1">
    <w:name w:val="Lined - Accent 1"/>
    <w:basedOn w:val="73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firstCol">
      <w:rPr>
        <w:sz w:val="22"/>
      </w:rPr>
      <w:tcPr>
        <w:shd w:val="clear" w:color="5d8ac2" w:fill="5d8ac2" w:themeFill="accent1" w:themeFillTint="EA"/>
      </w:tcPr>
    </w:tblStylePr>
    <w:tblStylePr w:type="firstRow">
      <w:rPr>
        <w:sz w:val="22"/>
      </w:rPr>
      <w:tcPr>
        <w:shd w:val="clear" w:color="5d8ac2" w:fill="5d8ac2" w:themeFill="accent1" w:themeFillTint="EA"/>
      </w:tcPr>
    </w:tblStylePr>
    <w:tblStylePr w:type="lastCol">
      <w:rPr>
        <w:sz w:val="22"/>
      </w:rPr>
      <w:tcPr>
        <w:shd w:val="clear" w:color="5d8ac2" w:fill="5d8ac2" w:themeFill="accent1" w:themeFillTint="EA"/>
      </w:tcPr>
    </w:tblStylePr>
    <w:tblStylePr w:type="lastRow">
      <w:rPr>
        <w:sz w:val="22"/>
      </w:rPr>
      <w:tcPr>
        <w:shd w:val="clear" w:color="5d8ac2" w:fill="5d8ac2" w:themeFill="accent1" w:themeFillTint="EA"/>
      </w:tcPr>
    </w:tblStylePr>
  </w:style>
  <w:style w:type="table" w:styleId="1030" w:customStyle="1">
    <w:name w:val="Lined - Accent 2"/>
    <w:basedOn w:val="73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sz w:val="22"/>
      </w:rPr>
      <w:tcPr>
        <w:shd w:val="clear" w:color="d99695" w:fill="d99695" w:themeFill="accent2" w:themeFillTint="97"/>
      </w:tcPr>
    </w:tblStylePr>
    <w:tblStylePr w:type="firstRow">
      <w:rPr>
        <w:sz w:val="22"/>
      </w:rPr>
      <w:tcPr>
        <w:shd w:val="clear" w:color="d99695" w:fill="d99695" w:themeFill="accent2" w:themeFillTint="97"/>
      </w:tcPr>
    </w:tblStylePr>
    <w:tblStylePr w:type="lastCol">
      <w:rPr>
        <w:sz w:val="22"/>
      </w:rPr>
      <w:tcPr>
        <w:shd w:val="clear" w:color="d99695" w:fill="d99695" w:themeFill="accent2" w:themeFillTint="97"/>
      </w:tcPr>
    </w:tblStylePr>
    <w:tblStylePr w:type="lastRow">
      <w:rPr>
        <w:sz w:val="22"/>
      </w:rPr>
      <w:tcPr>
        <w:shd w:val="clear" w:color="d99695" w:fill="d99695" w:themeFill="accent2" w:themeFillTint="97"/>
      </w:tcPr>
    </w:tblStylePr>
  </w:style>
  <w:style w:type="table" w:styleId="1031" w:customStyle="1">
    <w:name w:val="Lined - Accent 3"/>
    <w:basedOn w:val="73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c" w:fill="eaf1dc" w:themeFill="accent3" w:themeFillTint="34"/>
      </w:tcPr>
    </w:tblStylePr>
    <w:tblStylePr w:type="band2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sz w:val="22"/>
      </w:rPr>
      <w:tcPr>
        <w:shd w:val="clear" w:color="9abb59" w:fill="9abb59" w:themeFill="accent3" w:themeFillTint="FE"/>
      </w:tcPr>
    </w:tblStylePr>
    <w:tblStylePr w:type="firstRow">
      <w:rPr>
        <w:sz w:val="22"/>
      </w:rPr>
      <w:tcPr>
        <w:shd w:val="clear" w:color="9abb59" w:fill="9abb59" w:themeFill="accent3" w:themeFillTint="FE"/>
      </w:tcPr>
    </w:tblStylePr>
    <w:tblStylePr w:type="lastCol">
      <w:rPr>
        <w:sz w:val="22"/>
      </w:rPr>
      <w:tcPr>
        <w:shd w:val="clear" w:color="9abb59" w:fill="9abb59" w:themeFill="accent3" w:themeFillTint="FE"/>
      </w:tcPr>
    </w:tblStylePr>
    <w:tblStylePr w:type="lastRow">
      <w:rPr>
        <w:sz w:val="22"/>
      </w:rPr>
      <w:tcPr>
        <w:shd w:val="clear" w:color="9abb59" w:fill="9abb59" w:themeFill="accent3" w:themeFillTint="FE"/>
      </w:tcPr>
    </w:tblStylePr>
  </w:style>
  <w:style w:type="table" w:styleId="1032" w:customStyle="1">
    <w:name w:val="Lined - Accent 4"/>
    <w:basedOn w:val="73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</w:style>
  <w:style w:type="table" w:styleId="1033" w:customStyle="1">
    <w:name w:val="Lined - Accent 5"/>
    <w:basedOn w:val="73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firstRow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</w:style>
  <w:style w:type="table" w:styleId="1034" w:customStyle="1">
    <w:name w:val="Lined - Accent 6"/>
    <w:basedOn w:val="73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8" w:fill="fde9d8" w:themeFill="accent6" w:themeFillTint="34"/>
      </w:tcPr>
    </w:tblStylePr>
    <w:tblStylePr w:type="band2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firstRow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</w:style>
  <w:style w:type="table" w:styleId="1035" w:customStyle="1">
    <w:name w:val="Bordered &amp; Lined - Accent"/>
    <w:basedOn w:val="73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 w:themeFill="text1" w:themeFillTint="0D"/>
      </w:tcPr>
    </w:tblStylePr>
    <w:tblStylePr w:type="band2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1036" w:customStyle="1">
    <w:name w:val="Bordered &amp; Lined - Accent 1"/>
    <w:basedOn w:val="73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firstCol">
      <w:rPr>
        <w:sz w:val="22"/>
      </w:rPr>
      <w:tcPr>
        <w:shd w:val="clear" w:color="5d8ac2" w:fill="5d8ac2" w:themeFill="accent1" w:themeFillTint="EA"/>
      </w:tcPr>
    </w:tblStylePr>
    <w:tblStylePr w:type="firstRow">
      <w:rPr>
        <w:sz w:val="22"/>
      </w:rPr>
      <w:tcPr>
        <w:shd w:val="clear" w:color="5d8ac2" w:fill="5d8ac2" w:themeFill="accent1" w:themeFillTint="EA"/>
      </w:tcPr>
    </w:tblStylePr>
    <w:tblStylePr w:type="lastCol">
      <w:rPr>
        <w:sz w:val="22"/>
      </w:rPr>
      <w:tcPr>
        <w:shd w:val="clear" w:color="5d8ac2" w:fill="5d8ac2" w:themeFill="accent1" w:themeFillTint="EA"/>
      </w:tcPr>
    </w:tblStylePr>
    <w:tblStylePr w:type="lastRow">
      <w:rPr>
        <w:sz w:val="22"/>
      </w:rPr>
      <w:tcPr>
        <w:shd w:val="clear" w:color="5d8ac2" w:fill="5d8ac2" w:themeFill="accent1" w:themeFillTint="EA"/>
      </w:tcPr>
    </w:tblStylePr>
  </w:style>
  <w:style w:type="table" w:styleId="1037" w:customStyle="1">
    <w:name w:val="Bordered &amp; Lined - Accent 2"/>
    <w:basedOn w:val="73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sz w:val="22"/>
      </w:rPr>
      <w:tcPr>
        <w:shd w:val="clear" w:color="d99695" w:fill="d99695" w:themeFill="accent2" w:themeFillTint="97"/>
      </w:tcPr>
    </w:tblStylePr>
    <w:tblStylePr w:type="firstRow">
      <w:rPr>
        <w:sz w:val="22"/>
      </w:rPr>
      <w:tcPr>
        <w:shd w:val="clear" w:color="d99695" w:fill="d99695" w:themeFill="accent2" w:themeFillTint="97"/>
      </w:tcPr>
    </w:tblStylePr>
    <w:tblStylePr w:type="lastCol">
      <w:rPr>
        <w:sz w:val="22"/>
      </w:rPr>
      <w:tcPr>
        <w:shd w:val="clear" w:color="d99695" w:fill="d99695" w:themeFill="accent2" w:themeFillTint="97"/>
      </w:tcPr>
    </w:tblStylePr>
    <w:tblStylePr w:type="lastRow">
      <w:rPr>
        <w:sz w:val="22"/>
      </w:rPr>
      <w:tcPr>
        <w:shd w:val="clear" w:color="d99695" w:fill="d99695" w:themeFill="accent2" w:themeFillTint="97"/>
      </w:tcPr>
    </w:tblStylePr>
  </w:style>
  <w:style w:type="table" w:styleId="1038" w:customStyle="1">
    <w:name w:val="Bordered &amp; Lined - Accent 3"/>
    <w:basedOn w:val="73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c" w:fill="eaf1dc" w:themeFill="accent3" w:themeFillTint="34"/>
      </w:tcPr>
    </w:tblStylePr>
    <w:tblStylePr w:type="band2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sz w:val="22"/>
      </w:rPr>
      <w:tcPr>
        <w:shd w:val="clear" w:color="9abb59" w:fill="9abb59" w:themeFill="accent3" w:themeFillTint="FE"/>
      </w:tcPr>
    </w:tblStylePr>
    <w:tblStylePr w:type="firstRow">
      <w:rPr>
        <w:sz w:val="22"/>
      </w:rPr>
      <w:tcPr>
        <w:shd w:val="clear" w:color="9abb59" w:fill="9abb59" w:themeFill="accent3" w:themeFillTint="FE"/>
      </w:tcPr>
    </w:tblStylePr>
    <w:tblStylePr w:type="lastCol">
      <w:rPr>
        <w:sz w:val="22"/>
      </w:rPr>
      <w:tcPr>
        <w:shd w:val="clear" w:color="9abb59" w:fill="9abb59" w:themeFill="accent3" w:themeFillTint="FE"/>
      </w:tcPr>
    </w:tblStylePr>
    <w:tblStylePr w:type="lastRow">
      <w:rPr>
        <w:sz w:val="22"/>
      </w:rPr>
      <w:tcPr>
        <w:shd w:val="clear" w:color="9abb59" w:fill="9abb59" w:themeFill="accent3" w:themeFillTint="FE"/>
      </w:tcPr>
    </w:tblStylePr>
  </w:style>
  <w:style w:type="table" w:styleId="1039" w:customStyle="1">
    <w:name w:val="Bordered &amp; Lined - Accent 4"/>
    <w:basedOn w:val="73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</w:style>
  <w:style w:type="table" w:styleId="1040" w:customStyle="1">
    <w:name w:val="Bordered &amp; Lined - Accent 5"/>
    <w:basedOn w:val="73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firstRow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</w:style>
  <w:style w:type="table" w:styleId="1041" w:customStyle="1">
    <w:name w:val="Bordered &amp; Lined - Accent 6"/>
    <w:basedOn w:val="73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8" w:fill="fde9d8" w:themeFill="accent6" w:themeFillTint="34"/>
      </w:tcPr>
    </w:tblStylePr>
    <w:tblStylePr w:type="band2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firstRow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</w:style>
  <w:style w:type="table" w:styleId="1042" w:customStyle="1">
    <w:name w:val="Bordered"/>
    <w:basedOn w:val="73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1043" w:customStyle="1">
    <w:name w:val="Bordered - Accent 1"/>
    <w:basedOn w:val="73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044" w:customStyle="1">
    <w:name w:val="Bordered - Accent 2"/>
    <w:basedOn w:val="73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0504D" w:themeColor="accent2" w:sz="12" w:space="0"/>
        </w:tcBorders>
      </w:tcPr>
    </w:tblStylePr>
    <w:tblStylePr w:type="lastCol">
      <w:rPr>
        <w:sz w:val="22"/>
      </w:rPr>
      <w:tcPr>
        <w:tcBorders>
          <w:left w:val="single" w:color="C0504D" w:themeColor="accent2" w:sz="12" w:space="0"/>
        </w:tcBorders>
      </w:tcPr>
    </w:tblStylePr>
    <w:tblStylePr w:type="lastRow">
      <w:rPr>
        <w:sz w:val="22"/>
      </w:rPr>
      <w:tcPr>
        <w:tcBorders>
          <w:top w:val="single" w:color="C0504D" w:themeColor="accent2" w:sz="12" w:space="0"/>
        </w:tcBorders>
      </w:tcPr>
    </w:tblStylePr>
  </w:style>
  <w:style w:type="table" w:styleId="1045" w:customStyle="1">
    <w:name w:val="Bordered - Accent 3"/>
    <w:basedOn w:val="73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9BBB59" w:themeColor="accent3" w:sz="12" w:space="0"/>
        </w:tcBorders>
      </w:tcPr>
    </w:tblStylePr>
    <w:tblStylePr w:type="lastCol">
      <w:rPr>
        <w:sz w:val="22"/>
      </w:rPr>
      <w:tcPr>
        <w:tcBorders>
          <w:left w:val="single" w:color="9BBB59" w:themeColor="accent3" w:sz="12" w:space="0"/>
        </w:tcBorders>
      </w:tcPr>
    </w:tblStylePr>
    <w:tblStylePr w:type="lastRow">
      <w:rPr>
        <w:sz w:val="22"/>
      </w:rPr>
      <w:tcPr>
        <w:tcBorders>
          <w:top w:val="single" w:color="9BBB59" w:themeColor="accent3" w:sz="12" w:space="0"/>
        </w:tcBorders>
      </w:tcPr>
    </w:tblStylePr>
  </w:style>
  <w:style w:type="table" w:styleId="1046" w:customStyle="1">
    <w:name w:val="Bordered - Accent 4"/>
    <w:basedOn w:val="73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8064A2" w:themeColor="accent4" w:sz="12" w:space="0"/>
        </w:tcBorders>
      </w:tcPr>
    </w:tblStylePr>
    <w:tblStylePr w:type="lastCol">
      <w:rPr>
        <w:sz w:val="22"/>
      </w:rPr>
      <w:tcPr>
        <w:tcBorders>
          <w:left w:val="single" w:color="8064A2" w:themeColor="accent4" w:sz="12" w:space="0"/>
        </w:tcBorders>
      </w:tcPr>
    </w:tblStylePr>
    <w:tblStylePr w:type="lastRow">
      <w:rPr>
        <w:sz w:val="22"/>
      </w:rPr>
      <w:tcPr>
        <w:tcBorders>
          <w:top w:val="single" w:color="8064A2" w:themeColor="accent4" w:sz="12" w:space="0"/>
        </w:tcBorders>
      </w:tcPr>
    </w:tblStylePr>
  </w:style>
  <w:style w:type="table" w:styleId="1047" w:customStyle="1">
    <w:name w:val="Bordered - Accent 5"/>
    <w:basedOn w:val="73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BACC6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BACC6" w:themeColor="accent5" w:sz="12" w:space="0"/>
        </w:tcBorders>
      </w:tcPr>
    </w:tblStylePr>
    <w:tblStylePr w:type="lastRow">
      <w:rPr>
        <w:sz w:val="22"/>
      </w:rPr>
      <w:tcPr>
        <w:tcBorders>
          <w:top w:val="single" w:color="4BACC6" w:themeColor="accent5" w:sz="12" w:space="0"/>
        </w:tcBorders>
      </w:tcPr>
    </w:tblStylePr>
  </w:style>
  <w:style w:type="table" w:styleId="1048" w:customStyle="1">
    <w:name w:val="Bordered - Accent 6"/>
    <w:basedOn w:val="73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79646" w:themeColor="accent6" w:sz="12" w:space="0"/>
        </w:tcBorders>
      </w:tcPr>
    </w:tblStylePr>
    <w:tblStylePr w:type="lastCol">
      <w:rPr>
        <w:sz w:val="22"/>
      </w:rPr>
      <w:tcPr>
        <w:tcBorders>
          <w:left w:val="single" w:color="F79646" w:themeColor="accent6" w:sz="12" w:space="0"/>
        </w:tcBorders>
      </w:tcPr>
    </w:tblStylePr>
    <w:tblStylePr w:type="lastRow">
      <w:rPr>
        <w:sz w:val="22"/>
      </w:rPr>
      <w:tcPr>
        <w:tcBorders>
          <w:top w:val="single" w:color="F79646" w:themeColor="accent6" w:sz="12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EAA3F-55AE-405B-8159-FB0E46972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Ражина</dc:creator>
  <dc:description/>
  <dc:language>ru-RU</dc:language>
  <cp:lastModifiedBy>konovalenkoan</cp:lastModifiedBy>
  <cp:revision>322</cp:revision>
  <dcterms:created xsi:type="dcterms:W3CDTF">2022-09-15T06:40:00Z</dcterms:created>
  <dcterms:modified xsi:type="dcterms:W3CDTF">2026-03-23T10:12:45Z</dcterms:modified>
</cp:coreProperties>
</file>