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1"/>
      </w:pPr>
      <w:r/>
      <w:r/>
    </w:p>
    <w:tbl>
      <w:tblPr>
        <w:tblW w:w="15134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8755"/>
        <w:gridCol w:w="637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755" w:type="dxa"/>
            <w:vAlign w:val="top"/>
            <w:textDirection w:val="lrTb"/>
            <w:noWrap w:val="false"/>
          </w:tcPr>
          <w:p>
            <w:pPr>
              <w:pStyle w:val="881"/>
              <w:jc w:val="right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79" w:type="dxa"/>
            <w:vAlign w:val="top"/>
            <w:textDirection w:val="lrTb"/>
            <w:noWrap w:val="false"/>
          </w:tcPr>
          <w:p>
            <w:pPr>
              <w:pStyle w:val="881"/>
              <w:ind w:left="34" w:hanging="34"/>
              <w:jc w:val="right"/>
            </w:pPr>
            <w:r>
              <w:t xml:space="preserve">Утверждаю</w:t>
            </w:r>
            <w:r/>
          </w:p>
          <w:p>
            <w:pPr>
              <w:pStyle w:val="881"/>
              <w:ind w:left="-108"/>
              <w:jc w:val="right"/>
            </w:pPr>
            <w:r>
              <w:t xml:space="preserve"> </w:t>
            </w:r>
            <w:r>
              <w:t xml:space="preserve"> Директор ТФОМС Липецкой области</w:t>
            </w:r>
            <w:r/>
          </w:p>
          <w:p>
            <w:pPr>
              <w:pStyle w:val="881"/>
              <w:ind w:left="-108"/>
              <w:jc w:val="right"/>
            </w:pPr>
            <w:r>
              <w:t xml:space="preserve"> </w:t>
            </w:r>
            <w:r>
              <w:t xml:space="preserve"> _____________</w:t>
            </w:r>
            <w:r>
              <w:t xml:space="preserve">___</w:t>
            </w:r>
            <w:r>
              <w:t xml:space="preserve"> </w:t>
            </w:r>
            <w:r>
              <w:t xml:space="preserve">Г.А. Ражина</w:t>
            </w:r>
            <w:r/>
          </w:p>
          <w:p>
            <w:pPr>
              <w:pStyle w:val="881"/>
              <w:ind w:left="-108"/>
              <w:jc w:val="right"/>
            </w:pPr>
            <w:r>
              <w:t xml:space="preserve">  «____» __________ 2026</w:t>
            </w:r>
            <w:r>
              <w:t xml:space="preserve"> года</w:t>
            </w:r>
            <w:r/>
          </w:p>
          <w:p>
            <w:pPr>
              <w:pStyle w:val="881"/>
              <w:ind w:left="-108"/>
            </w:pPr>
            <w:r>
              <w:t xml:space="preserve">    </w:t>
            </w:r>
            <w:r/>
          </w:p>
        </w:tc>
      </w:tr>
    </w:tbl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плана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проверок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медицинских организаций</w:t>
      </w:r>
      <w:r>
        <w:rPr>
          <w:b/>
          <w:sz w:val="28"/>
          <w:szCs w:val="28"/>
        </w:rPr>
        <w:t xml:space="preserve"> на 20</w:t>
      </w:r>
      <w:r>
        <w:rPr>
          <w:b/>
          <w:sz w:val="28"/>
          <w:szCs w:val="28"/>
        </w:rPr>
        <w:t xml:space="preserve">26</w:t>
      </w:r>
      <w:r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bCs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81"/>
        <w:rPr>
          <w:b/>
          <w:bCs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tbl>
      <w:tblPr>
        <w:tblW w:w="154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75"/>
        <w:gridCol w:w="5954"/>
        <w:gridCol w:w="4817"/>
        <w:gridCol w:w="2"/>
        <w:gridCol w:w="2124"/>
        <w:gridCol w:w="3"/>
        <w:gridCol w:w="1839"/>
        <w:gridCol w:w="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п/п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медицинских организаций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проверки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Период проведения проверки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Примечание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«ВИТРОМЕД»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center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</w:t>
            </w:r>
            <w:r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учреждение здравоохранения «Липецкая городская детская больница»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center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</w:t>
            </w:r>
            <w:r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учреждение здравоохранения «</w:t>
            </w:r>
            <w:r>
              <w:rPr>
                <w:sz w:val="28"/>
                <w:szCs w:val="28"/>
              </w:rPr>
              <w:t xml:space="preserve">Грязинская  </w:t>
            </w:r>
            <w:r>
              <w:rPr>
                <w:sz w:val="28"/>
                <w:szCs w:val="28"/>
              </w:rPr>
              <w:t xml:space="preserve">центральная </w:t>
            </w:r>
            <w:r>
              <w:rPr>
                <w:sz w:val="28"/>
                <w:szCs w:val="28"/>
              </w:rPr>
              <w:t xml:space="preserve"> районная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больница»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</w:t>
            </w:r>
            <w:r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учреждение здравоохранения «Липецкая районная больница»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учреждение здравоохранения «Липецкая городская поликлиника №1»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</w:t>
            </w:r>
            <w:r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«В.Г.В.А.»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 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«Прозрение»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</w:rPr>
              <w:t xml:space="preserve">I  квартал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t xml:space="preserve">ОБЩЕСТВО С ОГРАНИЧЕННОЙ ОТВЕТСТВЕННОСТЬЮ «КЛИНИКА ЭКСПЕРТ ЛИПЕЦК»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</w:rPr>
              <w:t xml:space="preserve">I  квартал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r/>
            <w:r>
              <w:rPr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«Офтальмологический центр доктора  Тарасова»</w:t>
            </w: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 </w:t>
            </w:r>
            <w:r>
              <w:rPr>
                <w:sz w:val="28"/>
                <w:szCs w:val="28"/>
              </w:rPr>
              <w:t xml:space="preserve">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4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vMerge w:val="restart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vMerge w:val="restart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vMerge w:val="restart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Государственное учреждение здравоохранения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  <w:t xml:space="preserve">Измалковская </w:t>
            </w:r>
            <w:r>
              <w:rPr>
                <w:sz w:val="28"/>
                <w:szCs w:val="28"/>
              </w:rPr>
              <w:t xml:space="preserve">районная больница»</w:t>
            </w:r>
            <w:r/>
            <w:r>
              <w:rPr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</w:r>
            <w:r/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 xml:space="preserve">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Государственное учреждение здравоохранения «Областная стоматологическая поликлиника – Стоматологический центр»</w:t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/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 xml:space="preserve">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учреждение здравоохранения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1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«Елецкая городская клиническая больница  им. Н.А.Семашко»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 xml:space="preserve">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Государственное учреждение здравоохранения   «Липецкая городская больница №3 «Свободный сокол»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 xml:space="preserve">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«Клиника репродуктивной медицины «Мой малыш»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 xml:space="preserve">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«Новейшие медицинские технологии»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 xml:space="preserve">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«Липецк-Неотложка плюс»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 xml:space="preserve">квартал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учреждение здравоохранения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«Лебедянская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центральная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районная больница»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 xml:space="preserve">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«Липецк –ДЕНТ»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 xml:space="preserve">квартал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4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vMerge w:val="restart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vMerge w:val="restart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vMerge w:val="restart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 </w:t>
            </w:r>
            <w:r/>
            <w:r>
              <w:rPr>
                <w:sz w:val="28"/>
                <w:szCs w:val="28"/>
              </w:rPr>
              <w:t xml:space="preserve">Государственное учреждение здравоохранения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r>
              <w:rPr>
                <w:sz w:val="28"/>
                <w:szCs w:val="28"/>
              </w:rPr>
              <w:t xml:space="preserve">«Областной кожно-венерологический диспансер»</w:t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 xml:space="preserve">квартал</w:t>
            </w:r>
            <w:r/>
          </w:p>
          <w:p>
            <w:pPr>
              <w:pStyle w:val="881"/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Государственное учреждение здравоохранения «Липецкая городская больница скорой медицинской помощи №1»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 xml:space="preserve">квартал</w:t>
            </w:r>
            <w:r/>
          </w:p>
          <w:p>
            <w:r/>
            <w:r/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учреждение здравоохранения «Липецкий областной клинический центр»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 xml:space="preserve">квартал</w:t>
            </w:r>
            <w:r/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Медицинский центр Л Клиник»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 xml:space="preserve">квартал</w:t>
            </w:r>
            <w:r/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учреждение здравоохранения «Елецкая городская детская больница»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 xml:space="preserve">квартал</w:t>
            </w:r>
            <w:r/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Государственное автономное учреждение здравоохранения «Липецкая городская стоматологическая поликлиника №2»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 xml:space="preserve">квартал</w:t>
            </w:r>
            <w:r/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«Промышленная Медицинская Компания-Медицинский центр»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 xml:space="preserve">квартал</w:t>
            </w:r>
            <w:r/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sz w:val="28"/>
                <w:szCs w:val="28"/>
              </w:rPr>
              <w:t xml:space="preserve">«Центр женского здоровья»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 xml:space="preserve">квартал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sz w:val="28"/>
                <w:szCs w:val="28"/>
              </w:rPr>
              <w:t xml:space="preserve">«Пульс»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 xml:space="preserve">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4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vMerge w:val="restart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vMerge w:val="restart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vMerge w:val="restart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top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Общество с ограниченной ответственностью «Липецкая клиника сосудистой  хирургии»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квартал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«ФРЕЗЕНИУС НЕФРОКЕА»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1"/>
              <w:jc w:val="center"/>
            </w:pPr>
            <w:r>
              <w:rPr>
                <w:sz w:val="28"/>
                <w:szCs w:val="28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Ассоциация  «Новолипецкий  медицинский центр»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«</w:t>
            </w:r>
            <w:r>
              <w:rPr>
                <w:sz w:val="28"/>
                <w:szCs w:val="28"/>
              </w:rPr>
              <w:t xml:space="preserve">Санта - </w:t>
            </w:r>
            <w:r>
              <w:rPr>
                <w:sz w:val="28"/>
                <w:szCs w:val="28"/>
                <w:lang w:val="en-US"/>
              </w:rPr>
              <w:t xml:space="preserve">VII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 Государственное учреждение здравоохранения «Липецкий областной перинатальный центр»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ООО «Первая Медицинская Клиника»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«МЕД – КАБИНЕТ»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Государственное учреждение здравоохранения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«Хлевенская районная больница»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«МЕДИЦИНСКИЙ ЦЕНТР «ЖИЗНЬ»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sz w:val="28"/>
                <w:szCs w:val="28"/>
              </w:rPr>
              <w:t xml:space="preserve">«Диагностический  центр «Импульс»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квартал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Частное учреждение здравоохранения «Больница «РЖД-Медицина» города Елец»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 квартал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top"/>
            <w:textDirection w:val="lrTb"/>
            <w:noWrap w:val="false"/>
          </w:tcPr>
          <w:p>
            <w:pPr>
              <w:pStyle w:val="8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учреждение здравоохранения «Липецкий областной</w:t>
            </w:r>
            <w:r>
              <w:rPr>
                <w:sz w:val="28"/>
                <w:szCs w:val="28"/>
              </w:rPr>
              <w:t xml:space="preserve"> Центр</w:t>
            </w:r>
            <w:r>
              <w:rPr>
                <w:sz w:val="28"/>
                <w:szCs w:val="28"/>
              </w:rPr>
              <w:t xml:space="preserve"> инфекционных болезней»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 квартал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Федеральное казенное учреждение здравоохранение «Медико-санитарная часть Министерства внутренних дел Российской Федерации по Липецкой области»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81"/>
            </w:pPr>
            <w:r>
              <w:rPr>
                <w:bCs/>
                <w:sz w:val="28"/>
                <w:szCs w:val="28"/>
              </w:rPr>
              <w:t xml:space="preserve">Использование средств обязательного медицинского страхования 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textDirection w:val="lrTb"/>
            <w:noWrap w:val="false"/>
          </w:tcPr>
          <w:p>
            <w:pPr>
              <w:pStyle w:val="881"/>
              <w:jc w:val="center"/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  <w:t xml:space="preserve">  квартал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4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pStyle w:val="88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</w:tbl>
    <w:p>
      <w:pPr>
        <w:pStyle w:val="881"/>
      </w:pPr>
      <w:r/>
      <w:r/>
    </w:p>
    <w:p>
      <w:pPr>
        <w:pStyle w:val="881"/>
      </w:pPr>
      <w:r/>
      <w:r/>
    </w:p>
    <w:p>
      <w:pPr>
        <w:pStyle w:val="881"/>
      </w:pPr>
      <w:r/>
      <w:r/>
    </w:p>
    <w:p>
      <w:pPr>
        <w:pStyle w:val="881"/>
        <w:rPr>
          <w:sz w:val="28"/>
        </w:rPr>
      </w:pPr>
      <w:r>
        <w:rPr>
          <w:sz w:val="28"/>
        </w:rPr>
        <w:t xml:space="preserve">Н</w:t>
      </w:r>
      <w:r>
        <w:rPr>
          <w:sz w:val="28"/>
        </w:rPr>
        <w:t xml:space="preserve">ачальник </w:t>
      </w:r>
      <w:r>
        <w:rPr>
          <w:sz w:val="28"/>
        </w:rPr>
        <w:t xml:space="preserve">контрольно-ревизионного отдела</w:t>
      </w:r>
      <w:r>
        <w:rPr>
          <w:sz w:val="28"/>
        </w:rPr>
      </w:r>
      <w:r>
        <w:rPr>
          <w:sz w:val="28"/>
        </w:rPr>
      </w:r>
    </w:p>
    <w:p>
      <w:pPr>
        <w:pStyle w:val="881"/>
        <w:rPr>
          <w:sz w:val="28"/>
          <w:szCs w:val="28"/>
          <w:highlight w:val="none"/>
        </w:rPr>
      </w:pPr>
      <w:r>
        <w:rPr>
          <w:sz w:val="28"/>
        </w:rPr>
        <w:t xml:space="preserve">ТФОМС Липецкой области                                                                         </w:t>
      </w:r>
      <w:r>
        <w:rPr>
          <w:sz w:val="28"/>
        </w:rPr>
        <w:t xml:space="preserve">                                                </w:t>
      </w:r>
      <w:r>
        <w:rPr>
          <w:sz w:val="28"/>
        </w:rPr>
        <w:t xml:space="preserve">                    И.В. Хромина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erReference w:type="default" r:id="rId10"/>
      <w:footerReference w:type="even" r:id="rId11"/>
      <w:footnotePr/>
      <w:endnotePr/>
      <w:type w:val="nextPage"/>
      <w:pgSz w:w="16838" w:h="11906" w:orient="landscape"/>
      <w:pgMar w:top="709" w:right="851" w:bottom="1077" w:left="85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  <w:rPr>
        <w:rStyle w:val="888"/>
      </w:rPr>
      <w:framePr w:wrap="around" w:vAnchor="text" w:hAnchor="margin" w:xAlign="right" w:y="1"/>
    </w:pPr>
    <w:r>
      <w:rPr>
        <w:rStyle w:val="888"/>
      </w:rPr>
      <w:fldChar w:fldCharType="begin"/>
    </w:r>
    <w:r>
      <w:rPr>
        <w:rStyle w:val="888"/>
      </w:rPr>
      <w:instrText xml:space="preserve">PAGE  </w:instrText>
    </w:r>
    <w:r>
      <w:rPr>
        <w:rStyle w:val="888"/>
      </w:rPr>
      <w:fldChar w:fldCharType="end"/>
    </w:r>
    <w:r>
      <w:rPr>
        <w:rStyle w:val="888"/>
      </w:rPr>
    </w:r>
    <w:r>
      <w:rPr>
        <w:rStyle w:val="888"/>
      </w:rPr>
    </w:r>
  </w:p>
  <w:p>
    <w:pPr>
      <w:pStyle w:val="887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5</w:t>
    </w:r>
    <w:r>
      <w:fldChar w:fldCharType="end"/>
    </w:r>
    <w:r/>
  </w:p>
  <w:p>
    <w:pPr>
      <w:pStyle w:val="88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3">
    <w:name w:val="Heading 1"/>
    <w:basedOn w:val="881"/>
    <w:next w:val="88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4">
    <w:name w:val="Heading 1 Char"/>
    <w:link w:val="703"/>
    <w:uiPriority w:val="9"/>
    <w:rPr>
      <w:rFonts w:ascii="Arial" w:hAnsi="Arial" w:eastAsia="Arial" w:cs="Arial"/>
      <w:sz w:val="40"/>
      <w:szCs w:val="40"/>
    </w:rPr>
  </w:style>
  <w:style w:type="paragraph" w:styleId="705">
    <w:name w:val="Heading 2"/>
    <w:basedOn w:val="881"/>
    <w:next w:val="881"/>
    <w:link w:val="70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6">
    <w:name w:val="Heading 2 Char"/>
    <w:link w:val="705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81"/>
    <w:next w:val="881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81"/>
    <w:next w:val="881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81"/>
    <w:next w:val="881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81"/>
    <w:next w:val="881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81"/>
    <w:next w:val="881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81"/>
    <w:next w:val="881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81"/>
    <w:next w:val="881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List Paragraph"/>
    <w:basedOn w:val="881"/>
    <w:uiPriority w:val="34"/>
    <w:qFormat/>
    <w:pPr>
      <w:contextualSpacing/>
      <w:ind w:left="720"/>
    </w:pPr>
  </w:style>
  <w:style w:type="paragraph" w:styleId="722">
    <w:name w:val="No Spacing"/>
    <w:uiPriority w:val="1"/>
    <w:qFormat/>
    <w:pPr>
      <w:spacing w:before="0" w:after="0" w:line="240" w:lineRule="auto"/>
    </w:pPr>
  </w:style>
  <w:style w:type="paragraph" w:styleId="723">
    <w:name w:val="Title"/>
    <w:basedOn w:val="881"/>
    <w:next w:val="881"/>
    <w:link w:val="7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4">
    <w:name w:val="Title Char"/>
    <w:link w:val="723"/>
    <w:uiPriority w:val="10"/>
    <w:rPr>
      <w:sz w:val="48"/>
      <w:szCs w:val="48"/>
    </w:rPr>
  </w:style>
  <w:style w:type="paragraph" w:styleId="725">
    <w:name w:val="Subtitle"/>
    <w:basedOn w:val="881"/>
    <w:next w:val="881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>
    <w:name w:val="Subtitle Char"/>
    <w:link w:val="725"/>
    <w:uiPriority w:val="11"/>
    <w:rPr>
      <w:sz w:val="24"/>
      <w:szCs w:val="24"/>
    </w:rPr>
  </w:style>
  <w:style w:type="paragraph" w:styleId="727">
    <w:name w:val="Quote"/>
    <w:basedOn w:val="881"/>
    <w:next w:val="881"/>
    <w:link w:val="728"/>
    <w:uiPriority w:val="29"/>
    <w:qFormat/>
    <w:pPr>
      <w:ind w:left="720" w:right="720"/>
    </w:pPr>
    <w:rPr>
      <w:i/>
    </w:rPr>
  </w:style>
  <w:style w:type="character" w:styleId="728">
    <w:name w:val="Quote Char"/>
    <w:link w:val="727"/>
    <w:uiPriority w:val="29"/>
    <w:rPr>
      <w:i/>
    </w:rPr>
  </w:style>
  <w:style w:type="paragraph" w:styleId="729">
    <w:name w:val="Intense Quote"/>
    <w:basedOn w:val="881"/>
    <w:next w:val="881"/>
    <w:link w:val="7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>
    <w:name w:val="Intense Quote Char"/>
    <w:link w:val="729"/>
    <w:uiPriority w:val="30"/>
    <w:rPr>
      <w:i/>
    </w:rPr>
  </w:style>
  <w:style w:type="paragraph" w:styleId="731">
    <w:name w:val="Header"/>
    <w:basedOn w:val="881"/>
    <w:link w:val="73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2">
    <w:name w:val="Header Char"/>
    <w:link w:val="731"/>
    <w:uiPriority w:val="99"/>
  </w:style>
  <w:style w:type="paragraph" w:styleId="733">
    <w:name w:val="Footer"/>
    <w:basedOn w:val="881"/>
    <w:link w:val="73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4">
    <w:name w:val="Footer Char"/>
    <w:link w:val="733"/>
    <w:uiPriority w:val="99"/>
  </w:style>
  <w:style w:type="paragraph" w:styleId="735">
    <w:name w:val="Caption"/>
    <w:basedOn w:val="881"/>
    <w:next w:val="881"/>
    <w:link w:val="7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6">
    <w:name w:val="Caption Char"/>
    <w:link w:val="735"/>
    <w:uiPriority w:val="35"/>
    <w:rPr>
      <w:b/>
      <w:bCs/>
      <w:color w:val="4f81bd" w:themeColor="accent1"/>
      <w:sz w:val="18"/>
      <w:szCs w:val="18"/>
    </w:rPr>
  </w:style>
  <w:style w:type="table" w:styleId="73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3">
    <w:name w:val="Hyperlink"/>
    <w:uiPriority w:val="99"/>
    <w:unhideWhenUsed/>
    <w:rPr>
      <w:color w:val="0000ff" w:themeColor="hyperlink"/>
      <w:u w:val="single"/>
    </w:rPr>
  </w:style>
  <w:style w:type="paragraph" w:styleId="864">
    <w:name w:val="footnote text"/>
    <w:basedOn w:val="881"/>
    <w:link w:val="865"/>
    <w:uiPriority w:val="99"/>
    <w:semiHidden/>
    <w:unhideWhenUsed/>
    <w:pPr>
      <w:spacing w:after="40" w:line="240" w:lineRule="auto"/>
    </w:pPr>
    <w:rPr>
      <w:sz w:val="18"/>
    </w:rPr>
  </w:style>
  <w:style w:type="character" w:styleId="865">
    <w:name w:val="Footnote Text Char"/>
    <w:link w:val="864"/>
    <w:uiPriority w:val="99"/>
    <w:rPr>
      <w:sz w:val="18"/>
    </w:rPr>
  </w:style>
  <w:style w:type="character" w:styleId="866">
    <w:name w:val="footnote reference"/>
    <w:uiPriority w:val="99"/>
    <w:unhideWhenUsed/>
    <w:rPr>
      <w:vertAlign w:val="superscript"/>
    </w:rPr>
  </w:style>
  <w:style w:type="paragraph" w:styleId="867">
    <w:name w:val="endnote text"/>
    <w:basedOn w:val="881"/>
    <w:link w:val="868"/>
    <w:uiPriority w:val="99"/>
    <w:semiHidden/>
    <w:unhideWhenUsed/>
    <w:pPr>
      <w:spacing w:after="0" w:line="240" w:lineRule="auto"/>
    </w:pPr>
    <w:rPr>
      <w:sz w:val="20"/>
    </w:rPr>
  </w:style>
  <w:style w:type="character" w:styleId="868">
    <w:name w:val="Endnote Text Char"/>
    <w:link w:val="867"/>
    <w:uiPriority w:val="99"/>
    <w:rPr>
      <w:sz w:val="20"/>
    </w:rPr>
  </w:style>
  <w:style w:type="character" w:styleId="869">
    <w:name w:val="endnote reference"/>
    <w:uiPriority w:val="99"/>
    <w:semiHidden/>
    <w:unhideWhenUsed/>
    <w:rPr>
      <w:vertAlign w:val="superscript"/>
    </w:rPr>
  </w:style>
  <w:style w:type="paragraph" w:styleId="870">
    <w:name w:val="toc 1"/>
    <w:basedOn w:val="881"/>
    <w:next w:val="881"/>
    <w:uiPriority w:val="39"/>
    <w:unhideWhenUsed/>
    <w:pPr>
      <w:ind w:left="0" w:right="0" w:firstLine="0"/>
      <w:spacing w:after="57"/>
    </w:pPr>
  </w:style>
  <w:style w:type="paragraph" w:styleId="871">
    <w:name w:val="toc 2"/>
    <w:basedOn w:val="881"/>
    <w:next w:val="881"/>
    <w:uiPriority w:val="39"/>
    <w:unhideWhenUsed/>
    <w:pPr>
      <w:ind w:left="283" w:right="0" w:firstLine="0"/>
      <w:spacing w:after="57"/>
    </w:pPr>
  </w:style>
  <w:style w:type="paragraph" w:styleId="872">
    <w:name w:val="toc 3"/>
    <w:basedOn w:val="881"/>
    <w:next w:val="881"/>
    <w:uiPriority w:val="39"/>
    <w:unhideWhenUsed/>
    <w:pPr>
      <w:ind w:left="567" w:right="0" w:firstLine="0"/>
      <w:spacing w:after="57"/>
    </w:pPr>
  </w:style>
  <w:style w:type="paragraph" w:styleId="873">
    <w:name w:val="toc 4"/>
    <w:basedOn w:val="881"/>
    <w:next w:val="881"/>
    <w:uiPriority w:val="39"/>
    <w:unhideWhenUsed/>
    <w:pPr>
      <w:ind w:left="850" w:right="0" w:firstLine="0"/>
      <w:spacing w:after="57"/>
    </w:pPr>
  </w:style>
  <w:style w:type="paragraph" w:styleId="874">
    <w:name w:val="toc 5"/>
    <w:basedOn w:val="881"/>
    <w:next w:val="881"/>
    <w:uiPriority w:val="39"/>
    <w:unhideWhenUsed/>
    <w:pPr>
      <w:ind w:left="1134" w:right="0" w:firstLine="0"/>
      <w:spacing w:after="57"/>
    </w:pPr>
  </w:style>
  <w:style w:type="paragraph" w:styleId="875">
    <w:name w:val="toc 6"/>
    <w:basedOn w:val="881"/>
    <w:next w:val="881"/>
    <w:uiPriority w:val="39"/>
    <w:unhideWhenUsed/>
    <w:pPr>
      <w:ind w:left="1417" w:right="0" w:firstLine="0"/>
      <w:spacing w:after="57"/>
    </w:pPr>
  </w:style>
  <w:style w:type="paragraph" w:styleId="876">
    <w:name w:val="toc 7"/>
    <w:basedOn w:val="881"/>
    <w:next w:val="881"/>
    <w:uiPriority w:val="39"/>
    <w:unhideWhenUsed/>
    <w:pPr>
      <w:ind w:left="1701" w:right="0" w:firstLine="0"/>
      <w:spacing w:after="57"/>
    </w:pPr>
  </w:style>
  <w:style w:type="paragraph" w:styleId="877">
    <w:name w:val="toc 8"/>
    <w:basedOn w:val="881"/>
    <w:next w:val="881"/>
    <w:uiPriority w:val="39"/>
    <w:unhideWhenUsed/>
    <w:pPr>
      <w:ind w:left="1984" w:right="0" w:firstLine="0"/>
      <w:spacing w:after="57"/>
    </w:pPr>
  </w:style>
  <w:style w:type="paragraph" w:styleId="878">
    <w:name w:val="toc 9"/>
    <w:basedOn w:val="881"/>
    <w:next w:val="881"/>
    <w:uiPriority w:val="39"/>
    <w:unhideWhenUsed/>
    <w:pPr>
      <w:ind w:left="2268" w:right="0" w:firstLine="0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881" w:default="1">
    <w:name w:val="Normal"/>
    <w:next w:val="881"/>
    <w:link w:val="881"/>
    <w:qFormat/>
    <w:rPr>
      <w:sz w:val="24"/>
      <w:szCs w:val="24"/>
      <w:lang w:val="ru-RU" w:eastAsia="ru-RU" w:bidi="ar-SA"/>
    </w:rPr>
  </w:style>
  <w:style w:type="character" w:styleId="882">
    <w:name w:val="Основной шрифт абзаца, Знак Знак2"/>
    <w:next w:val="882"/>
    <w:link w:val="886"/>
    <w:semiHidden/>
  </w:style>
  <w:style w:type="table" w:styleId="883">
    <w:name w:val="Обычная таблица"/>
    <w:next w:val="883"/>
    <w:link w:val="881"/>
    <w:semiHidden/>
    <w:tblPr/>
  </w:style>
  <w:style w:type="numbering" w:styleId="884">
    <w:name w:val="Нет списка"/>
    <w:next w:val="884"/>
    <w:link w:val="881"/>
    <w:semiHidden/>
  </w:style>
  <w:style w:type="table" w:styleId="885">
    <w:name w:val="Сетка таблицы"/>
    <w:basedOn w:val="883"/>
    <w:next w:val="885"/>
    <w:link w:val="881"/>
    <w:tblPr/>
  </w:style>
  <w:style w:type="paragraph" w:styleId="886">
    <w:name w:val="UserStyle_0"/>
    <w:basedOn w:val="881"/>
    <w:next w:val="886"/>
    <w:link w:val="88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87">
    <w:name w:val="Нижний колонтитул"/>
    <w:basedOn w:val="881"/>
    <w:next w:val="887"/>
    <w:link w:val="881"/>
    <w:pPr>
      <w:tabs>
        <w:tab w:val="center" w:pos="4677" w:leader="none"/>
        <w:tab w:val="right" w:pos="9355" w:leader="none"/>
      </w:tabs>
    </w:pPr>
  </w:style>
  <w:style w:type="character" w:styleId="888">
    <w:name w:val="Номер страницы"/>
    <w:basedOn w:val="882"/>
    <w:next w:val="888"/>
    <w:link w:val="881"/>
  </w:style>
  <w:style w:type="paragraph" w:styleId="889">
    <w:name w:val="Верхний колонтитул"/>
    <w:basedOn w:val="881"/>
    <w:next w:val="889"/>
    <w:link w:val="890"/>
    <w:uiPriority w:val="99"/>
    <w:pPr>
      <w:tabs>
        <w:tab w:val="center" w:pos="4677" w:leader="none"/>
        <w:tab w:val="right" w:pos="9355" w:leader="none"/>
      </w:tabs>
    </w:pPr>
  </w:style>
  <w:style w:type="character" w:styleId="890">
    <w:name w:val="Верхний колонтитул Знак"/>
    <w:next w:val="890"/>
    <w:link w:val="889"/>
    <w:uiPriority w:val="99"/>
    <w:rPr>
      <w:sz w:val="24"/>
      <w:szCs w:val="24"/>
    </w:rPr>
  </w:style>
  <w:style w:type="paragraph" w:styleId="891">
    <w:name w:val="Текст выноски"/>
    <w:basedOn w:val="881"/>
    <w:next w:val="891"/>
    <w:link w:val="892"/>
    <w:rPr>
      <w:rFonts w:ascii="Tahoma" w:hAnsi="Tahoma" w:cs="Tahoma"/>
      <w:sz w:val="16"/>
      <w:szCs w:val="16"/>
    </w:rPr>
  </w:style>
  <w:style w:type="character" w:styleId="892">
    <w:name w:val="Текст выноски Знак"/>
    <w:next w:val="892"/>
    <w:link w:val="891"/>
    <w:rPr>
      <w:rFonts w:ascii="Tahoma" w:hAnsi="Tahoma" w:cs="Tahoma"/>
      <w:sz w:val="16"/>
      <w:szCs w:val="16"/>
    </w:rPr>
  </w:style>
  <w:style w:type="paragraph" w:styleId="893">
    <w:name w:val="ConsPlusNonformat"/>
    <w:next w:val="893"/>
    <w:link w:val="881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894" w:default="1">
    <w:name w:val="Default Paragraph Font"/>
    <w:uiPriority w:val="1"/>
    <w:semiHidden/>
    <w:unhideWhenUsed/>
  </w:style>
  <w:style w:type="numbering" w:styleId="895" w:default="1">
    <w:name w:val="No List"/>
    <w:uiPriority w:val="99"/>
    <w:semiHidden/>
    <w:unhideWhenUsed/>
  </w:style>
  <w:style w:type="table" w:styleId="89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OBLFU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Хлевенского муниципального района</dc:title>
  <dc:creator>bugorkova</dc:creator>
  <cp:lastModifiedBy>chrominaiv</cp:lastModifiedBy>
  <cp:revision>134</cp:revision>
  <dcterms:created xsi:type="dcterms:W3CDTF">2021-04-23T12:47:00Z</dcterms:created>
  <dcterms:modified xsi:type="dcterms:W3CDTF">2026-02-02T09:38:55Z</dcterms:modified>
  <cp:version>917504</cp:version>
</cp:coreProperties>
</file>