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0"/>
        <w:ind w:firstLine="709"/>
        <w:jc w:val="both"/>
        <w:spacing w:line="283" w:lineRule="atLeast"/>
        <w:rPr>
          <w:rFonts w:ascii="Times New Roman" w:hAnsi="Times New Roman" w:cs="Times New Roman"/>
          <w:b/>
          <w:bCs/>
          <w:spacing w:val="-5"/>
          <w14:ligatures w14:val="none"/>
        </w:rPr>
      </w:pPr>
      <w:r>
        <w:rPr>
          <w:rFonts w:ascii="Times New Roman" w:hAnsi="Times New Roman" w:cs="Times New Roman"/>
          <w:sz w:val="28"/>
          <w:szCs w:val="28"/>
        </w:rPr>
        <w:t xml:space="preserve">О</w:t>
      </w:r>
      <w:r>
        <w:rPr>
          <w:rFonts w:ascii="Times New Roman" w:hAnsi="Times New Roman" w:cs="Times New Roman"/>
          <w:sz w:val="28"/>
          <w:szCs w:val="28"/>
        </w:rPr>
        <w:t xml:space="preserve">б итогах работы ТФОМС Липецкой области за </w:t>
      </w:r>
      <w:r>
        <w:rPr>
          <w:rFonts w:ascii="Times New Roman" w:hAnsi="Times New Roman" w:cs="Times New Roman"/>
          <w:sz w:val="28"/>
          <w:szCs w:val="28"/>
        </w:rPr>
        <w:t xml:space="preserve">202</w:t>
      </w:r>
      <w:r>
        <w:rPr>
          <w:rFonts w:ascii="Times New Roman" w:hAnsi="Times New Roman" w:cs="Times New Roman"/>
          <w:sz w:val="28"/>
          <w:szCs w:val="28"/>
        </w:rPr>
        <w:t xml:space="preserve">4</w:t>
      </w:r>
      <w:r>
        <w:rPr>
          <w:rFonts w:ascii="Times New Roman" w:hAnsi="Times New Roman" w:cs="Times New Roman"/>
          <w:sz w:val="28"/>
          <w:szCs w:val="28"/>
        </w:rPr>
        <w:t xml:space="preserve"> год</w:t>
      </w:r>
      <w:r>
        <w:rPr>
          <w:rFonts w:ascii="Times New Roman" w:hAnsi="Times New Roman" w:cs="Times New Roman"/>
          <w:sz w:val="28"/>
          <w:szCs w:val="28"/>
        </w:rPr>
      </w:r>
      <w:r>
        <w:rPr>
          <w:rFonts w:ascii="Times New Roman" w:hAnsi="Times New Roman" w:cs="Times New Roman"/>
          <w:sz w:val="28"/>
          <w:szCs w:val="28"/>
        </w:rPr>
      </w:r>
    </w:p>
    <w:p>
      <w:pPr>
        <w:pStyle w:val="620"/>
        <w:ind w:firstLine="709"/>
        <w:jc w:val="both"/>
        <w:spacing w:line="283" w:lineRule="atLeast"/>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620"/>
        <w:ind w:firstLine="709"/>
        <w:jc w:val="both"/>
        <w:spacing w:line="283" w:lineRule="atLeast"/>
        <w:rPr>
          <w:rFonts w:ascii="Times New Roman" w:hAnsi="Times New Roman" w:cs="Times New Roman"/>
          <w:sz w:val="28"/>
          <w:szCs w:val="28"/>
          <w:highlight w:val="none"/>
        </w:rPr>
      </w:pPr>
      <w:r>
        <w:rPr>
          <w:rFonts w:ascii="Times New Roman" w:hAnsi="Times New Roman" w:cs="Times New Roman"/>
          <w:sz w:val="28"/>
          <w:szCs w:val="28"/>
        </w:rPr>
        <w:t xml:space="preserve">За период январь-декабрь 2024 года доходы бюджета территориального фонда ОМС сложились в размере 22 106,3 млн. рублей, что составляет 100,0% от утвержденных законом бюджетных назначений и 116,0% к доходам 2023 года (19 059,9 млн. рублей). </w:t>
      </w:r>
      <w:r>
        <w:rPr>
          <w:rFonts w:ascii="Times New Roman" w:hAnsi="Times New Roman" w:cs="Times New Roman"/>
          <w:sz w:val="28"/>
          <w:szCs w:val="28"/>
        </w:rPr>
      </w:r>
      <w:r>
        <w:rPr>
          <w:rFonts w:ascii="Times New Roman" w:hAnsi="Times New Roman" w:cs="Times New Roman"/>
          <w:sz w:val="28"/>
          <w:szCs w:val="28"/>
        </w:rPr>
      </w:r>
    </w:p>
    <w:p>
      <w:pPr>
        <w:pStyle w:val="620"/>
        <w:ind w:firstLine="709"/>
        <w:jc w:val="both"/>
        <w:spacing w:line="283" w:lineRule="atLeast"/>
        <w:rPr>
          <w:rFonts w:ascii="Times New Roman" w:hAnsi="Times New Roman" w:cs="Times New Roman"/>
          <w:sz w:val="28"/>
          <w:szCs w:val="28"/>
        </w:rPr>
      </w:pPr>
      <w:r>
        <w:rPr>
          <w:rFonts w:ascii="Times New Roman" w:hAnsi="Times New Roman" w:cs="Times New Roman"/>
          <w:sz w:val="28"/>
          <w:szCs w:val="28"/>
        </w:rPr>
        <w:t xml:space="preserve">В бюджет террито</w:t>
      </w:r>
      <w:r>
        <w:rPr>
          <w:rFonts w:ascii="Times New Roman" w:hAnsi="Times New Roman" w:cs="Times New Roman"/>
          <w:sz w:val="28"/>
          <w:szCs w:val="28"/>
        </w:rPr>
        <w:t xml:space="preserve">риального фонда обязательного медицинского страхования Липецкой области за этот период поступило средств в виде:</w:t>
      </w:r>
      <w:r>
        <w:rPr>
          <w:rFonts w:ascii="Times New Roman" w:hAnsi="Times New Roman" w:cs="Times New Roman"/>
          <w:sz w:val="28"/>
          <w:szCs w:val="28"/>
        </w:rPr>
      </w:r>
      <w:r>
        <w:rPr>
          <w:rFonts w:ascii="Times New Roman" w:hAnsi="Times New Roman" w:cs="Times New Roman"/>
          <w:sz w:val="28"/>
          <w:szCs w:val="28"/>
        </w:rPr>
      </w:r>
    </w:p>
    <w:p>
      <w:pPr>
        <w:pStyle w:val="620"/>
        <w:ind w:firstLine="709"/>
        <w:jc w:val="both"/>
        <w:spacing w:line="283" w:lineRule="atLeast"/>
        <w:rPr>
          <w:rFonts w:ascii="Times New Roman" w:hAnsi="Times New Roman" w:cs="Times New Roman"/>
          <w:sz w:val="28"/>
          <w:szCs w:val="28"/>
        </w:rPr>
      </w:pPr>
      <w:r>
        <w:rPr>
          <w:rFonts w:ascii="Times New Roman" w:hAnsi="Times New Roman" w:cs="Times New Roman"/>
          <w:sz w:val="28"/>
          <w:szCs w:val="28"/>
        </w:rPr>
        <w:t xml:space="preserve">- субвенции из Федерального фонда обязательного медицинского страхования на финансовое обеспечение организации обязательного медицинского страх</w:t>
      </w:r>
      <w:r>
        <w:rPr>
          <w:rFonts w:ascii="Times New Roman" w:hAnsi="Times New Roman" w:cs="Times New Roman"/>
          <w:sz w:val="28"/>
          <w:szCs w:val="28"/>
        </w:rPr>
        <w:t xml:space="preserve">ования в сумме 20 005,6 млн. рублей; </w:t>
      </w:r>
      <w:r>
        <w:rPr>
          <w:rFonts w:ascii="Times New Roman" w:hAnsi="Times New Roman" w:cs="Times New Roman"/>
          <w:sz w:val="28"/>
          <w:szCs w:val="28"/>
        </w:rPr>
      </w:r>
      <w:r>
        <w:rPr>
          <w:rFonts w:ascii="Times New Roman" w:hAnsi="Times New Roman" w:cs="Times New Roman"/>
          <w:sz w:val="28"/>
          <w:szCs w:val="28"/>
        </w:rPr>
      </w:r>
    </w:p>
    <w:p>
      <w:pPr>
        <w:pStyle w:val="1_634"/>
        <w:ind w:firstLine="720"/>
        <w:jc w:val="both"/>
        <w:spacing w:after="0"/>
        <w:tabs>
          <w:tab w:val="left" w:pos="720" w:leader="none"/>
        </w:tabs>
        <w:rPr>
          <w:sz w:val="28"/>
          <w:szCs w:val="28"/>
        </w:rPr>
      </w:pPr>
      <w:r>
        <w:rPr>
          <w:sz w:val="28"/>
          <w:szCs w:val="28"/>
        </w:rPr>
        <w:t xml:space="preserve">- межбюджетных трансфертов, полученных из областного бюджета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w:t>
      </w:r>
      <w:r>
        <w:rPr>
          <w:sz w:val="28"/>
          <w:szCs w:val="28"/>
        </w:rPr>
        <w:t xml:space="preserve">ния, в размере 135,7 млн. рублей. Из областного бюджета дополнительно поступили МБТ на финансовое обеспечение медицинской помощи в части базовой программы ОМС (на онкологию и обеспечение доступности) в сумме 630,6 млн. рублей;</w:t>
      </w:r>
      <w:r>
        <w:rPr>
          <w:sz w:val="28"/>
          <w:szCs w:val="28"/>
        </w:rPr>
      </w:r>
      <w:r>
        <w:rPr>
          <w:sz w:val="28"/>
          <w:szCs w:val="28"/>
        </w:rPr>
      </w:r>
    </w:p>
    <w:p>
      <w:pPr>
        <w:pStyle w:val="1_634"/>
        <w:ind w:firstLine="720"/>
        <w:jc w:val="both"/>
        <w:spacing w:after="0"/>
        <w:tabs>
          <w:tab w:val="left" w:pos="720" w:leader="none"/>
        </w:tabs>
        <w:rPr>
          <w:sz w:val="28"/>
          <w:szCs w:val="28"/>
        </w:rPr>
      </w:pPr>
      <w:r>
        <w:rPr>
          <w:sz w:val="28"/>
          <w:szCs w:val="28"/>
        </w:rPr>
        <w:t xml:space="preserve">- в 2024 году дополнительно и</w:t>
      </w:r>
      <w:r>
        <w:rPr>
          <w:sz w:val="28"/>
          <w:szCs w:val="28"/>
        </w:rPr>
        <w:t xml:space="preserve">з федерального бюджета поступили средства (межбюджетные трансферты) на дополнительное финансовое обеспечение медицинской помощи в рамках территориальной программы ОМС в размере 841,0 млн. рублей.</w:t>
      </w:r>
      <w:r>
        <w:rPr>
          <w:sz w:val="28"/>
          <w:szCs w:val="28"/>
        </w:rPr>
      </w:r>
      <w:r>
        <w:rPr>
          <w:sz w:val="28"/>
          <w:szCs w:val="28"/>
        </w:rPr>
      </w:r>
    </w:p>
    <w:p>
      <w:pPr>
        <w:pStyle w:val="1_634"/>
        <w:ind w:firstLine="720"/>
        <w:jc w:val="both"/>
        <w:spacing w:after="0"/>
        <w:tabs>
          <w:tab w:val="left" w:pos="720" w:leader="none"/>
        </w:tabs>
        <w:rPr>
          <w:sz w:val="28"/>
          <w:szCs w:val="28"/>
        </w:rPr>
      </w:pPr>
      <w:r>
        <w:rPr>
          <w:sz w:val="28"/>
          <w:szCs w:val="28"/>
        </w:rPr>
        <w:t xml:space="preserve">Рост сопоставимых вышеуказанных доходов фонда для финансовог</w:t>
      </w:r>
      <w:r>
        <w:rPr>
          <w:sz w:val="28"/>
          <w:szCs w:val="28"/>
        </w:rPr>
        <w:t xml:space="preserve">о обеспечения реализации территориальной программы ОМС в 2024 году составил 2 937,9 млн. рублей или 15,7%.</w:t>
      </w:r>
      <w:r>
        <w:rPr>
          <w:sz w:val="28"/>
          <w:szCs w:val="28"/>
        </w:rPr>
      </w:r>
      <w:r>
        <w:rPr>
          <w:sz w:val="28"/>
          <w:szCs w:val="28"/>
        </w:rPr>
      </w:r>
    </w:p>
    <w:p>
      <w:pPr>
        <w:pStyle w:val="1_634"/>
        <w:ind w:firstLine="720"/>
        <w:jc w:val="both"/>
        <w:spacing w:after="0"/>
        <w:tabs>
          <w:tab w:val="left" w:pos="720" w:leader="none"/>
        </w:tabs>
        <w:rPr>
          <w:sz w:val="28"/>
          <w:szCs w:val="28"/>
        </w:rPr>
      </w:pPr>
      <w:r>
        <w:rPr>
          <w:sz w:val="28"/>
          <w:szCs w:val="28"/>
          <w:lang w:eastAsia="ru-RU"/>
        </w:rPr>
        <w:t xml:space="preserve">В рамках выполнение территориальной программы ОМС за 2024 год принято к оплате медицинской помощи всего на сумму 21 158,0 млн. рублей (снято с оплаты</w:t>
      </w:r>
      <w:r>
        <w:rPr>
          <w:sz w:val="28"/>
          <w:szCs w:val="28"/>
          <w:lang w:eastAsia="ru-RU"/>
        </w:rPr>
        <w:t xml:space="preserve"> 322,3 млн. рублей, с учетом снятых всего стоимость МП - 21 385,1 млн. рублей), что составляет 99,3% (100,4% без снятых объемов) от утвержденной стоимости программы и 116,1% к аналогичному показателю прошлого года (</w:t>
      </w:r>
      <w:r>
        <w:rPr>
          <w:sz w:val="28"/>
          <w:szCs w:val="28"/>
        </w:rPr>
        <w:t xml:space="preserve">18 222,8 </w:t>
      </w:r>
      <w:r>
        <w:rPr>
          <w:sz w:val="28"/>
          <w:szCs w:val="28"/>
          <w:lang w:eastAsia="ru-RU"/>
        </w:rPr>
        <w:t xml:space="preserve">млн. рублей), в том числе:</w:t>
      </w:r>
      <w:r>
        <w:rPr>
          <w:sz w:val="28"/>
          <w:szCs w:val="28"/>
        </w:rPr>
      </w:r>
      <w:r>
        <w:rPr>
          <w:sz w:val="28"/>
          <w:szCs w:val="28"/>
        </w:rPr>
      </w:r>
    </w:p>
    <w:p>
      <w:pPr>
        <w:pStyle w:val="1_634"/>
        <w:ind w:firstLine="720"/>
        <w:jc w:val="both"/>
        <w:spacing w:after="0"/>
        <w:tabs>
          <w:tab w:val="left" w:pos="720" w:leader="none"/>
        </w:tabs>
        <w:rPr>
          <w:sz w:val="28"/>
          <w:szCs w:val="28"/>
          <w:lang w:eastAsia="ru-RU"/>
        </w:rPr>
      </w:pPr>
      <w:r>
        <w:rPr>
          <w:sz w:val="28"/>
          <w:szCs w:val="28"/>
          <w:lang w:eastAsia="ru-RU"/>
        </w:rPr>
        <w:t xml:space="preserve">- сто</w:t>
      </w:r>
      <w:r>
        <w:rPr>
          <w:sz w:val="28"/>
          <w:szCs w:val="28"/>
          <w:lang w:eastAsia="ru-RU"/>
        </w:rPr>
        <w:t xml:space="preserve">имость амбулаторной медицинской помощи утверждена в сумме 8 615,0  млн. рублей, фактическое выполнение составило – 8 827,5 млн. рублей или 102,5%  от утвержденной и 126,2% к соответствующему показателю прошлого года (6 995,6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стоимость стаци</w:t>
      </w:r>
      <w:r>
        <w:rPr>
          <w:sz w:val="28"/>
          <w:szCs w:val="28"/>
          <w:lang w:eastAsia="ru-RU"/>
        </w:rPr>
        <w:t xml:space="preserve">онарной медицинской помощи утверждена в сумме 8 981,3 млн. рублей, фактическое выполнение составило 9 060,4 млн. рублей или 100,9%  от утвержденной и 113,6% к аналогичному показателю прошлого года (7 975,8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стоимость медицинской помощи в дн</w:t>
      </w:r>
      <w:r>
        <w:rPr>
          <w:sz w:val="28"/>
          <w:szCs w:val="28"/>
          <w:lang w:eastAsia="ru-RU"/>
        </w:rPr>
        <w:t xml:space="preserve">евных стационарах утверждена в сумме 2 459,9 млн. рублей, фактически выполнено – 2 369,7 млн. рублей или 96,3%  от утвержденной стоимости и 108,4% к соответствующему показателю 2023 года (2 186,1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стоимость скорой медицинской помощи утвержде</w:t>
      </w:r>
      <w:r>
        <w:rPr>
          <w:sz w:val="28"/>
          <w:szCs w:val="28"/>
          <w:lang w:eastAsia="ru-RU"/>
        </w:rPr>
        <w:t xml:space="preserve">на в сумме 1 248,6 млн. рублей, фактически выполнено – 1 222,8 млн. рублей или 97,9% от утвержденной и 110,6% к соответствующему показателю прошлого года (1 105,2 </w:t>
      </w:r>
      <w:r>
        <w:rPr>
          <w:sz w:val="28"/>
          <w:szCs w:val="28"/>
          <w:lang w:eastAsia="ru-RU"/>
        </w:rPr>
        <w:t xml:space="preserve">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Объемы медицинской помощи, установленные Комиссией по разработке территориаль</w:t>
      </w:r>
      <w:r>
        <w:rPr>
          <w:sz w:val="28"/>
          <w:szCs w:val="28"/>
          <w:lang w:eastAsia="ru-RU"/>
        </w:rPr>
        <w:t xml:space="preserve">ной программы ОМС, выполнены:</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стационарной медицинской помощи – на 107,3%, и на 101,4% от уровня прошлого года;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амбулаторной медицинской помощи – на 105,3%, и 99,1% от уровня прошлого года по посещениям и на 95,8% и 105,9% от прошлого года по обр</w:t>
      </w:r>
      <w:r>
        <w:rPr>
          <w:sz w:val="28"/>
          <w:szCs w:val="28"/>
          <w:lang w:eastAsia="ru-RU"/>
        </w:rPr>
        <w:t xml:space="preserve">ащениям;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медицинской помощи, оказанной в дневных стационарах, - на 93,3%, и на 101,5% к показателю прошлого года;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скорой медицинской помощи – на 80,8%, и 96,2% от уровня аналогичного показателя прошлого года.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Стоимость специализированной медици</w:t>
      </w:r>
      <w:r>
        <w:rPr>
          <w:sz w:val="28"/>
          <w:szCs w:val="28"/>
          <w:lang w:eastAsia="ru-RU"/>
        </w:rPr>
        <w:t xml:space="preserve">нской помощи пациентам со злокачественными новообразованиями (ЗНО) в 2024 году составила 2 484,6 млн. рублей (103% от запланированной суммы – 2 415,0 млн. рублей), в том числе в стационарных условиях – 1 218,3 млн. рублей, в условиях дневного стационара – </w:t>
      </w:r>
      <w:r>
        <w:rPr>
          <w:sz w:val="28"/>
          <w:szCs w:val="28"/>
          <w:lang w:eastAsia="ru-RU"/>
        </w:rPr>
        <w:t xml:space="preserve">1 266,3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Средняя стоимость 1 случая специализированного лечения пациентов с ЗНО за отчетный период составила в целом 70,0 тыс. рублей, в стационарных условиях – 62,0 тыс. рублей, в условиях дневного стационара – 79,8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Объем специал</w:t>
      </w:r>
      <w:r>
        <w:rPr>
          <w:sz w:val="28"/>
          <w:szCs w:val="28"/>
          <w:lang w:eastAsia="ru-RU"/>
        </w:rPr>
        <w:t xml:space="preserve">изированной медицинской помощи пациентам с ЗНО в 2024 году составил 35 515 случаев, в том числе в круглосуточном стационаре - 19 648 случаев (146% от запланированного объема – 13 454 госпитализации), в дневном стационар – 15 867 случаев (107% от запланиров</w:t>
      </w:r>
      <w:r>
        <w:rPr>
          <w:sz w:val="28"/>
          <w:szCs w:val="28"/>
          <w:lang w:eastAsia="ru-RU"/>
        </w:rPr>
        <w:t xml:space="preserve">анного объема – 14 820 госпитализаций).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highlight w:val="none"/>
        </w:rPr>
      </w:pPr>
      <w:r>
        <w:rPr>
          <w:sz w:val="28"/>
          <w:szCs w:val="28"/>
          <w:highlight w:val="none"/>
          <w:lang w:eastAsia="ru-RU"/>
        </w:rPr>
        <w:t xml:space="preserve">В результате проведенного медико-экономического контроля по пункту дефекта 1.6.3 (предъявление к оплате медицинской помощи сверх распределенного объема предоставления медицинской помощи, установленного решением коми</w:t>
      </w:r>
      <w:r>
        <w:rPr>
          <w:sz w:val="28"/>
          <w:szCs w:val="28"/>
          <w:highlight w:val="none"/>
          <w:lang w:eastAsia="ru-RU"/>
        </w:rPr>
        <w:t xml:space="preserve">ссии по разработке территориальной программы ОМС) в 2024 году от оплаты отклонено 1 114 случаев лечения в стационарных условиях на общую сумму 86,9 млн. рублей.</w:t>
      </w:r>
      <w:r>
        <w:rPr>
          <w:sz w:val="28"/>
          <w:szCs w:val="28"/>
          <w:highlight w:val="none"/>
        </w:rPr>
      </w:r>
      <w:r>
        <w:rPr>
          <w:sz w:val="28"/>
          <w:szCs w:val="28"/>
          <w:highlight w:val="none"/>
        </w:rPr>
      </w:r>
    </w:p>
    <w:p>
      <w:pPr>
        <w:pStyle w:val="1_634"/>
        <w:ind w:firstLine="720"/>
        <w:jc w:val="both"/>
        <w:spacing w:after="0"/>
        <w:tabs>
          <w:tab w:val="left" w:pos="720" w:leader="none"/>
        </w:tabs>
        <w:rPr>
          <w:sz w:val="28"/>
          <w:szCs w:val="28"/>
          <w:highlight w:val="none"/>
        </w:rPr>
      </w:pPr>
      <w:r>
        <w:rPr>
          <w:sz w:val="28"/>
          <w:szCs w:val="28"/>
          <w:highlight w:val="none"/>
          <w:lang w:eastAsia="ru-RU"/>
        </w:rPr>
      </w:r>
      <w:r>
        <w:rPr>
          <w:sz w:val="28"/>
          <w:szCs w:val="28"/>
          <w:highlight w:val="none"/>
        </w:rPr>
      </w:r>
      <w:r>
        <w:rPr>
          <w:sz w:val="28"/>
          <w:szCs w:val="28"/>
          <w:highlight w:val="none"/>
        </w:rPr>
      </w:r>
    </w:p>
    <w:p>
      <w:pPr>
        <w:pStyle w:val="1_634"/>
        <w:ind w:firstLine="720"/>
        <w:jc w:val="both"/>
        <w:spacing w:after="0"/>
        <w:tabs>
          <w:tab w:val="left" w:pos="720" w:leader="none"/>
        </w:tabs>
        <w:rPr>
          <w:sz w:val="28"/>
          <w:szCs w:val="28"/>
          <w:lang w:eastAsia="ru-RU"/>
        </w:rPr>
      </w:pPr>
      <w:r>
        <w:rPr>
          <w:sz w:val="28"/>
          <w:szCs w:val="28"/>
          <w:lang w:eastAsia="ru-RU"/>
        </w:rPr>
        <w:t xml:space="preserve">План диспансеризации взрослого населения на 2024 год установлен в размере 431 274 человек. Фак</w:t>
      </w:r>
      <w:r>
        <w:rPr>
          <w:sz w:val="28"/>
          <w:szCs w:val="28"/>
          <w:lang w:eastAsia="ru-RU"/>
        </w:rPr>
        <w:t xml:space="preserve">тически осмотрено в рамках диспансеризации – 465 756 человек или 108,0% от утвержденного плана. Предъявлено счетов к оплате за проведенную диспансеризацию в рамках 1 и 2 этапов на сумму 1 323 186,7 тыс. рублей, оплачено 1 270 491,3 тыс. рублей. Из 30 медиц</w:t>
      </w:r>
      <w:r>
        <w:rPr>
          <w:sz w:val="28"/>
          <w:szCs w:val="28"/>
          <w:lang w:eastAsia="ru-RU"/>
        </w:rPr>
        <w:t xml:space="preserve">инских организаций, проводивших диспансеризацию взрослого населения, не выполнили установленный план – 2, в том числе: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«Липецкая городская поликлиника № 7» - 93,4%;</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«Краснинская районная больница» – 84,4%.</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План профилактических медицинских осмотров взрослого населения на 2024 год установлен в размере 149 974 человека. Фактически осмотрено 152 192 человек на сумму 238 168,3 тыс. рублей, что составило 101,5 % от утвержденного плана. Из 30 медицинских организац</w:t>
      </w:r>
      <w:r>
        <w:rPr>
          <w:sz w:val="28"/>
          <w:szCs w:val="28"/>
          <w:lang w:eastAsia="ru-RU"/>
        </w:rPr>
        <w:t xml:space="preserve">ий, проводивших профи</w:t>
      </w:r>
      <w:r>
        <w:rPr>
          <w:sz w:val="28"/>
          <w:szCs w:val="28"/>
          <w:lang w:eastAsia="ru-RU"/>
        </w:rPr>
        <w:t xml:space="preserve">лактические медицинские осмотры взрослого населения, не выполнили установленный план – 7, в том числе: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«Липецкая городская поликлиника № 7» - 89%;</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«Долгоруковская РБ» – 94%;</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«Елецкая РБ» - 95%;</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ГУЗ «Краснинская РБ» – 45%;</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Г</w:t>
      </w:r>
      <w:r>
        <w:rPr>
          <w:sz w:val="28"/>
          <w:szCs w:val="28"/>
          <w:lang w:eastAsia="ru-RU"/>
        </w:rPr>
        <w:t xml:space="preserve">УЗ «Усманская РБ» - 84%.</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План профилактических медицинских осмотров несовершеннолетних на 2024 год установлен в размере 197 439 человек. Фактически осмотрено 189 928 человек на сумму 628 577,6 тыс. рублей, что составило 96,0% от утвержденного плана. Из 23 </w:t>
      </w:r>
      <w:r>
        <w:rPr>
          <w:sz w:val="28"/>
          <w:szCs w:val="28"/>
          <w:lang w:eastAsia="ru-RU"/>
        </w:rPr>
        <w:t xml:space="preserve">медицинских организаций, проводивших профилактические медицинские осмотры несовершеннолетних, не выполнили установленный план - 19.</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План диспансеризации детей-сирот, усыновленных и принятых под опеку на 2024 год составил 1 477 человек. Фактически осмотрено</w:t>
      </w:r>
      <w:r>
        <w:rPr>
          <w:sz w:val="28"/>
          <w:szCs w:val="28"/>
          <w:lang w:eastAsia="ru-RU"/>
        </w:rPr>
        <w:t xml:space="preserve"> 1 432 человека на сумму 6 443,4 тыс. рублей, что составило 97,0% от утвержденного плана. Из 23 медицинских организаций, проводивших диспансеризации детей-сирот, усыновленных и принятых под опеку, не выполнили установленный план - 8.</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План диспансеризации д</w:t>
      </w:r>
      <w:r>
        <w:rPr>
          <w:sz w:val="28"/>
          <w:szCs w:val="28"/>
          <w:lang w:eastAsia="ru-RU"/>
        </w:rPr>
        <w:t xml:space="preserve">етей-сирот, пребывающих в стационарных учреждениях на 2024 год составил 764 человека. Фактически осмотрено 785 человек на сумму 3 953,4 тыс. рублей, что составило 103,0% от утвержденного плана.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Число пациентов, подлежащих диспансерному наблюдению в отчетн</w:t>
      </w:r>
      <w:r>
        <w:rPr>
          <w:sz w:val="28"/>
          <w:szCs w:val="28"/>
          <w:lang w:eastAsia="ru-RU"/>
        </w:rPr>
        <w:t xml:space="preserve">ом периоде составило 220 707 человек. Прошли диспансерное наблюдение 188 875 человек или 85,6% от планового показателя. Всего оплачено реестров счетов в рамках диспансерного наблюдения в 2024 году на сумму 721,8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2024 году медицинскими органи</w:t>
      </w:r>
      <w:r>
        <w:rPr>
          <w:sz w:val="28"/>
          <w:szCs w:val="28"/>
          <w:lang w:eastAsia="ru-RU"/>
        </w:rPr>
        <w:t xml:space="preserve">зациями Липецкой области оказана медицинская помощь 28 808 иногородним пациентам на общую сумму 407,3 млн. рублей, которая оплачена по предъявленным счетам и реестрам счетов в полном объеме.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Медицинскими организациями Липецкой области иногородним пациентам</w:t>
      </w:r>
      <w:r>
        <w:rPr>
          <w:sz w:val="28"/>
          <w:szCs w:val="28"/>
          <w:lang w:eastAsia="ru-RU"/>
        </w:rPr>
        <w:t xml:space="preserve"> медицинская помощь оказана по следующим основным профилям: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акушерство и гинекология – 3 613 случаев на сумму 26,8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кардиология – 1 072 случая на сумму 23,7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нефрология – 1 495 случаев на сумму 11,7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нейрохирурги</w:t>
      </w:r>
      <w:r>
        <w:rPr>
          <w:sz w:val="28"/>
          <w:szCs w:val="28"/>
          <w:lang w:eastAsia="ru-RU"/>
        </w:rPr>
        <w:t xml:space="preserve">я – 300 случаев на сумму 7,1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неврология – 2 770 случаев на сумму 23,8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онкология - 755 случаев на сумму 14,8 млн. рублей (в т.ч. химиотерапия - 177 случаев на сумму 9,9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офтальмология – 8 568 случаев на сумму 120</w:t>
      </w:r>
      <w:r>
        <w:rPr>
          <w:sz w:val="28"/>
          <w:szCs w:val="28"/>
          <w:lang w:eastAsia="ru-RU"/>
        </w:rPr>
        <w:t xml:space="preserve">,6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травматология и ортопедия – 3 642 случая на сумму 20,1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урология – 745 случаев на сумму 7,6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2024 году территориальными фондами ОМС других субъектов РФ предъявлено счетов и реестров счетов за оказанную медицинс</w:t>
      </w:r>
      <w:r>
        <w:rPr>
          <w:sz w:val="28"/>
          <w:szCs w:val="28"/>
          <w:lang w:eastAsia="ru-RU"/>
        </w:rPr>
        <w:t xml:space="preserve">кую помощь 28 171 пациентам, застрахованным на территории Липецкой области, на общую сумму 1 027,3 млн. рублей, в том числе высокотехнологичной медицинской помощи – 217,6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2024 году ТФОМС Липецкой области оплачено - 1 199,8 млн. рублей, в </w:t>
      </w:r>
      <w:r>
        <w:rPr>
          <w:sz w:val="28"/>
          <w:szCs w:val="28"/>
          <w:lang w:eastAsia="ru-RU"/>
        </w:rPr>
        <w:t xml:space="preserve">том</w:t>
      </w:r>
      <w:r>
        <w:rPr>
          <w:sz w:val="28"/>
          <w:szCs w:val="28"/>
          <w:lang w:eastAsia="ru-RU"/>
        </w:rPr>
        <w:t xml:space="preserve"> числе по счетам, поступившим в отчетном периоде -1 015,2 млн. рублей; 180,3 млн. рублей (задолженность на 01.01.2024). Текущая задолженность по оплате предъявленных в 2024 году счетов по состоянию на 01.01.2025 года составила 6,9 млн. рублей, просроченная</w:t>
      </w:r>
      <w:r>
        <w:rPr>
          <w:sz w:val="28"/>
          <w:szCs w:val="28"/>
          <w:lang w:eastAsia="ru-RU"/>
        </w:rPr>
        <w:t xml:space="preserve"> задолженность со сроком возникновения свыше 25 календарных дней –отсутствует.</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Медицинскими организациями других субъектов Российской Федерации, пациентам, застрахованным на территории Липецкой области, медицинская помощь оказана по следующим основным проф</w:t>
      </w:r>
      <w:r>
        <w:rPr>
          <w:sz w:val="28"/>
          <w:szCs w:val="28"/>
          <w:lang w:eastAsia="ru-RU"/>
        </w:rPr>
        <w:t xml:space="preserve">илям: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акушерство и гинекология – 2 405 случаев на сумму 23,3 млн. рублей (в т.ч. ЭКО - 44 случая на сумму 5,5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инфекционные болезни - 924 случая на сумму 15,0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кардиология – 1 438 случаев на сумму 26,7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медицинс</w:t>
      </w:r>
      <w:r>
        <w:rPr>
          <w:sz w:val="28"/>
          <w:szCs w:val="28"/>
          <w:lang w:eastAsia="ru-RU"/>
        </w:rPr>
        <w:t xml:space="preserve">кая реабилитация – 380 случаев на сумму 25,2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неврология – 1 517 случаев на сумму 23,4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нейрохирургия – 417 случаев на сумму 34,6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онкология – 13 194 случая на сумму 378,7 млн. рублей (в т.ч. -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химиотерапия – 827 случаев на сумму 227,0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офтальмология – 3 246 случаев на сумму 29,7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сердечно-сосудистая хирургия - 593 случая на сумму 58,4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травматология и ортопедия – 3 572 случая на сумму 175,4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урология – 756 случаев на сумму 10,6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Расходы медицинских организаций за 2024 год составили 20 234,0 млн. рублей, что выше показателя прошлого года на 11.7% или 2 118,9 млн. рублей (18 115,1 млн.руб.), в том числе: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на оплату труда с начи</w:t>
      </w:r>
      <w:r>
        <w:rPr>
          <w:sz w:val="28"/>
          <w:szCs w:val="28"/>
          <w:lang w:eastAsia="ru-RU"/>
        </w:rPr>
        <w:t xml:space="preserve">слениями – 14 058,9 млн. рублей, что составляет 114,3% от уровня прошлого года (12 304,9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оплата за медикаменты – 3 481,0 млн. рублей, что выше на 6,3% уровня прошлого года (3 275,2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оплата за продукты питания – 227,0 млн. ру</w:t>
      </w:r>
      <w:r>
        <w:rPr>
          <w:sz w:val="28"/>
          <w:szCs w:val="28"/>
          <w:lang w:eastAsia="ru-RU"/>
        </w:rPr>
        <w:t xml:space="preserve">блей, что выше показателя прошлого года на 6,0% (214,2 млн.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расходы на арендную плату за пользование имуществом – 221,3 млн. рублей, что ниже уровня прошлого года на 24,9% (294,8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оплата коммунальных услуг – 574,8 млн. рублей, чт</w:t>
      </w:r>
      <w:r>
        <w:rPr>
          <w:sz w:val="28"/>
          <w:szCs w:val="28"/>
          <w:lang w:eastAsia="ru-RU"/>
        </w:rPr>
        <w:t xml:space="preserve">о выше уровня прошлого года на 10,0% (522,5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Таким образом, наибольшую долю в структуре расходов занимают расходы на заработную плату с начислениями – 69,5%, при этом темпы роста данных расходов в сравнении с предыдущим периодом превышают тем</w:t>
      </w:r>
      <w:r>
        <w:rPr>
          <w:sz w:val="28"/>
          <w:szCs w:val="28"/>
          <w:lang w:eastAsia="ru-RU"/>
        </w:rPr>
        <w:t xml:space="preserve">пы роста по другим видам расходов.</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Средняя заработная плата работников государственных медицинских организаций Липецкой области в системе ОМС за 2024 год составила 47,94 тыс. рублей, что на 18,3% выше аналогичного показателя прошлого года (40,54 тыс. рубл</w:t>
      </w:r>
      <w:r>
        <w:rPr>
          <w:sz w:val="28"/>
          <w:szCs w:val="28"/>
          <w:lang w:eastAsia="ru-RU"/>
        </w:rPr>
        <w:t xml:space="preserve">ей) в том числе: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амбулаторно-поликлиническому звену средняя зарплата медицинских работников по сравнению с аналогичным периодом прошлого года возросла на 17,8% и составила 50,84 тыс. рублей (2023 год – 43,16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в стационарном звене рост с</w:t>
      </w:r>
      <w:r>
        <w:rPr>
          <w:sz w:val="28"/>
          <w:szCs w:val="28"/>
          <w:lang w:eastAsia="ru-RU"/>
        </w:rPr>
        <w:t xml:space="preserve">редней зарплаты медицинских работников составил 14,3 % - 60,61 тыс. рублей (2023 год – 53,01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в подразделениях скорой медицинской помощи средняя зарплата медицинских работников из средств ОМС составила 63,26 тыс. рублей, рост – 27,1 % (2023 </w:t>
      </w:r>
      <w:r>
        <w:rPr>
          <w:sz w:val="28"/>
          <w:szCs w:val="28"/>
          <w:lang w:eastAsia="ru-RU"/>
        </w:rPr>
        <w:t xml:space="preserve">год – 49,77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отчетном периоде средняя заработная плата по категориям персонала по сравнению с аналогичным периодом прошлого года сложилась следующим образом: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врачебным кадрам средняя зарплата увеличилась на 15,8% и составила 87,8 тыс. р</w:t>
      </w:r>
      <w:r>
        <w:rPr>
          <w:sz w:val="28"/>
          <w:szCs w:val="28"/>
          <w:lang w:eastAsia="ru-RU"/>
        </w:rPr>
        <w:t xml:space="preserve">ублей (75,84 тыс. рублей в 2023 году);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среднему медперсоналу рост средней зарплаты составил 16,9 %, заработная плата составила 46,92 тыс. рублей (в 2023 году - 40,14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младшему медицинскому персоналу средняя зарплата увеличилась на 15</w:t>
      </w:r>
      <w:r>
        <w:rPr>
          <w:sz w:val="28"/>
          <w:szCs w:val="28"/>
          <w:lang w:eastAsia="ru-RU"/>
        </w:rPr>
        <w:t xml:space="preserve">,5% и составила 43,63 тыс. рублей (37,78 тыс. рублей в 2023 году);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прочему персоналу рост средней зарплаты составил 21,1% и она составила 30,03 тыс. рублей (24, тыс. рублей в 2023 году);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по АУП средняя зарплата увеличилась на 18,2 % и составила 75,4</w:t>
      </w:r>
      <w:r>
        <w:rPr>
          <w:sz w:val="28"/>
          <w:szCs w:val="28"/>
          <w:lang w:eastAsia="ru-RU"/>
        </w:rPr>
        <w:t xml:space="preserve">8 тыс. рублей (63,86 тыс. рублей в 2023 году).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Во исполнение пункта 7.1 части 2 статьи 20 Федерального закона № 326-Ф3 «Об обязательном медицинском страховании», Правил использования средств нормированного страхового запаса, утвержден на 2024 год План меро</w:t>
      </w:r>
      <w:r>
        <w:rPr>
          <w:sz w:val="28"/>
          <w:szCs w:val="28"/>
          <w:lang w:eastAsia="ru-RU"/>
        </w:rPr>
        <w:t xml:space="preserve">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на сумму 42 868,8 тыс. рублей, в том числе на дополните</w:t>
      </w:r>
      <w:r>
        <w:rPr>
          <w:sz w:val="28"/>
          <w:szCs w:val="28"/>
          <w:lang w:eastAsia="ru-RU"/>
        </w:rPr>
        <w:t xml:space="preserve">льное профессиональное образование медицинских работников – 1 863,1 тыс. рублей, на проведение ремонта медицинского оборудования – 15 982,8 тыс. рублей, на приобретение медицинского оборудования – 25 022,9 тыс. рублей. Подписаны соглашения с 34 медицинским</w:t>
      </w:r>
      <w:r>
        <w:rPr>
          <w:sz w:val="28"/>
          <w:szCs w:val="28"/>
          <w:lang w:eastAsia="ru-RU"/>
        </w:rPr>
        <w:t xml:space="preserve">и организациями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w:t>
      </w:r>
      <w:r>
        <w:rPr>
          <w:sz w:val="28"/>
          <w:szCs w:val="28"/>
          <w:lang w:eastAsia="ru-RU"/>
        </w:rPr>
        <w:t xml:space="preserve">ования. В течение в 2024 года в медицинские организации было направлено средств на проведение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w:t>
      </w:r>
      <w:r>
        <w:rPr>
          <w:sz w:val="28"/>
          <w:szCs w:val="28"/>
          <w:lang w:eastAsia="ru-RU"/>
        </w:rPr>
        <w:t xml:space="preserve">оведению ремонта медицинского оборудования на сумму 42 868,8 тыс. рублей, в том числе на дополнительное профессиональное образование медицинских работников – 1 863,1 тыс. рублей, на проведение ремонта медицинского оборудования – 15 982,8 тыс. рублей, на пр</w:t>
      </w:r>
      <w:r>
        <w:rPr>
          <w:sz w:val="28"/>
          <w:szCs w:val="28"/>
          <w:lang w:eastAsia="ru-RU"/>
        </w:rPr>
        <w:t xml:space="preserve">иобретение медицинского оборудования – 25 022,9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 целью реализации Федерального закона № 326-ФЗ «Об обязательном медицинском страховании в Российской Федерации» (пункта 4 части 6 статьи 26) для софинансирования</w:t>
      </w:r>
      <w:r>
        <w:rPr>
          <w:sz w:val="28"/>
          <w:szCs w:val="28"/>
          <w:lang w:eastAsia="ru-RU"/>
        </w:rPr>
        <w:t xml:space="preserve"> расходов медицинских организаций на оплату труда врачей и среднего медицинского персонала, распоряжением Правительства Российской Федерации для Липецкой области в 2024 году предусмотрено – 37 734,4 тыс. рублей. В течение 2024 года в медицинские организаци</w:t>
      </w:r>
      <w:r>
        <w:rPr>
          <w:sz w:val="28"/>
          <w:szCs w:val="28"/>
          <w:lang w:eastAsia="ru-RU"/>
        </w:rPr>
        <w:t xml:space="preserve">и в соответствии с их заявками было направлено 51 219,64 тыс. рублей. Из средств </w:t>
      </w:r>
      <w:r>
        <w:rPr>
          <w:sz w:val="28"/>
          <w:szCs w:val="28"/>
          <w:lang w:eastAsia="ru-RU"/>
        </w:rPr>
        <w:t xml:space="preserve">нормированного страхового запаса за 2024 год осуществлено финансирование заработной платы 581 медицинского работника, (в том числе 349 врачей и 232 человека среднего медицинск</w:t>
      </w:r>
      <w:r>
        <w:rPr>
          <w:sz w:val="28"/>
          <w:szCs w:val="28"/>
          <w:lang w:eastAsia="ru-RU"/>
        </w:rPr>
        <w:t xml:space="preserve">ого персонала).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соответствии с Федеральным законом от 29.11.2010 № 326-ФЗ «Об обязательном медицинском страховании в Российской Федерации» и действующими нормативными документами в обл</w:t>
      </w:r>
      <w:r>
        <w:rPr>
          <w:sz w:val="28"/>
          <w:szCs w:val="28"/>
          <w:lang w:eastAsia="ru-RU"/>
        </w:rPr>
        <w:t xml:space="preserve">асти обязательного медицинского страхования,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Основанием для проведения проверки являлся приказ директора ТФОМС Липецкой области, который определял тему проверки, проверяемый период, руководителя комиссии, состав комиссии, сроки проведения проверки, форму проверки.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план проверок на 2024 год включе</w:t>
      </w:r>
      <w:r>
        <w:rPr>
          <w:sz w:val="28"/>
          <w:szCs w:val="28"/>
          <w:lang w:eastAsia="ru-RU"/>
        </w:rPr>
        <w:t xml:space="preserve">ны 50 медицинских организаций и 2 страховые  медицинские организации.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За 2024 год проведено 67 проверок: в медицинских организациях — 65 проверок, в том числе: 50 плановых проверок, 1 контрольная проверка, 13 тематических проверок по вопросу использования </w:t>
      </w:r>
      <w:r>
        <w:rPr>
          <w:sz w:val="28"/>
          <w:szCs w:val="28"/>
          <w:lang w:eastAsia="ru-RU"/>
        </w:rPr>
        <w:t xml:space="preserve">средств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1 внеплановая прове</w:t>
      </w:r>
      <w:r>
        <w:rPr>
          <w:sz w:val="28"/>
          <w:szCs w:val="28"/>
          <w:lang w:eastAsia="ru-RU"/>
        </w:rPr>
        <w:t xml:space="preserve">рка медицинской организации в связи с прекращением действия договора на оказание и оплату медицинской помощи по обязательному медицинскому страхованию, в страховых медицинских организациях - 2 плановые комплексные проверки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Остаток невосстановленных средс</w:t>
      </w:r>
      <w:r>
        <w:rPr>
          <w:sz w:val="28"/>
          <w:szCs w:val="28"/>
          <w:lang w:eastAsia="ru-RU"/>
        </w:rPr>
        <w:t xml:space="preserve">тв ОМС по состоянию на 01.01.2024 года составил 3 970,9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 итогам проверок за 2024 год в медицинских организациях выявлено нецелевое использование средств обязательного медицинского страхования на сумму 8 709,2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«Оплата расходов, н</w:t>
      </w:r>
      <w:r>
        <w:rPr>
          <w:sz w:val="28"/>
          <w:szCs w:val="28"/>
          <w:lang w:eastAsia="ru-RU"/>
        </w:rPr>
        <w:t xml:space="preserve">е включенных в структуру тарифа на оплату медицинской помощи в рамках территориальной программы ОМС» - 4 619,5 тыс. рублей или 53 % от выявленной суммы нецелевого использования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- 178,2 тыс. рублей - обучение по темам, не связанным с оказанием </w:t>
      </w:r>
      <w:r>
        <w:rPr>
          <w:sz w:val="28"/>
          <w:szCs w:val="28"/>
          <w:lang w:eastAsia="ru-RU"/>
        </w:rPr>
        <w:t xml:space="preserve">медицинской помощи в рамках территориальной программы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- 58,7 тыс. рублей – выплата материальной помощи работникам медицинской организации;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- 515,8 тыс. рублей - приобретение оборудования стоимостью свыше 100,0 тыс. рублей за единицу;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- 937,0 тыс. рубл</w:t>
      </w:r>
      <w:r>
        <w:rPr>
          <w:sz w:val="28"/>
          <w:szCs w:val="28"/>
          <w:lang w:eastAsia="ru-RU"/>
        </w:rPr>
        <w:t xml:space="preserve">ей - выплата заработной платы работнику за работу, не связанную с реализацией территориальной программы;</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- 15,0 тыс. рублей - организационный сбор за участие в конкурсе;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- 102,3 тыс. рублей – оплата за проведение аудита;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- 735,3 тыс. рублей – приобретение </w:t>
      </w:r>
      <w:r>
        <w:rPr>
          <w:sz w:val="28"/>
          <w:szCs w:val="28"/>
          <w:lang w:eastAsia="ru-RU"/>
        </w:rPr>
        <w:t xml:space="preserve">расходных материалов для оказания медицинской помощи, не предусмотренной лицензией;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- 13,5 тыс. рублей – оплата судебных расходов;</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- 1 256,2 тыс. рублей - оплата аренды имущества, не эксплуатируемого в процессе оказания медицинской помощи;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- 79,5 тыс. рубл</w:t>
      </w:r>
      <w:r>
        <w:rPr>
          <w:sz w:val="28"/>
          <w:szCs w:val="28"/>
          <w:lang w:eastAsia="ru-RU"/>
        </w:rPr>
        <w:t xml:space="preserve">ей оплата земельного налога и налога на имущество арендованного имущества;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- 78,0 тыс. рублей - оплата медицинских осмотра при приеме на работу;</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- 67,2 тыс. рублей - приобретение БАДОВ, не включенных в стандарты оказания медицинской помощи;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- 388,0 тыс. ру</w:t>
      </w:r>
      <w:r>
        <w:rPr>
          <w:sz w:val="28"/>
          <w:szCs w:val="28"/>
          <w:lang w:eastAsia="ru-RU"/>
        </w:rPr>
        <w:t xml:space="preserve">блей - оплата труда специалиста по социальной работе;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- 136,0 тыс. рублей - оплата услуг, не связанных с оказанием медицинской помощи;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- 58,8 тыс. рублей - приобретение оборудования для выявления в организме алкоголя;</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«Финансирование структурных подразделе</w:t>
      </w:r>
      <w:r>
        <w:rPr>
          <w:sz w:val="28"/>
          <w:szCs w:val="28"/>
          <w:lang w:eastAsia="ru-RU"/>
        </w:rPr>
        <w:t xml:space="preserve">ний медицинских организаций, финансируемых из иных источников» - 146,9 тыс. рублей или 1,7% от выявленной суммы нецелевого использования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- 98,4 тыс. рублей - расходы направленные на  оказание платных услуг;</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- 44,9 тыс. рублей - приобретение бл</w:t>
      </w:r>
      <w:r>
        <w:rPr>
          <w:sz w:val="28"/>
          <w:szCs w:val="28"/>
          <w:lang w:eastAsia="ru-RU"/>
        </w:rPr>
        <w:t xml:space="preserve">анков для оказания платных услуг;</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- 3,6 тыс. рублей -  заработная плата специалиста, финансируемого из  средств предпринимательской деятельности;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«Расходование средств обязательного медицинского страхования сверх норм, установленных соответствующими  норма</w:t>
      </w:r>
      <w:r>
        <w:rPr>
          <w:sz w:val="28"/>
          <w:szCs w:val="28"/>
          <w:lang w:eastAsia="ru-RU"/>
        </w:rPr>
        <w:t xml:space="preserve">тивными правовыми и правовыми актами» - 940,4тыс. рублей или 10,8 % от выявленной суммы нецелевого использования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- 762,0 тыс. рублей - выплаты заработной платы с учетом начислений, произведенные с превышением установленных норм;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- 178,4 тыс. рублей - выплаты по завышенным размерам должностных окладов с учетом начислений.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«Расходование средств обязательного медицинского страхования при отсутствии подтверждающих документов» - 2 753,4 тыс. рублей или 31,6% от выявленной суммы нецелев</w:t>
      </w:r>
      <w:r>
        <w:rPr>
          <w:sz w:val="28"/>
          <w:szCs w:val="28"/>
          <w:lang w:eastAsia="ru-RU"/>
        </w:rPr>
        <w:t xml:space="preserve">ого использования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- 1 866,3 тыс. рублей - выплата заработной платы с учетом начислений, при отсутствии  сертификата  (аккредитации) специалиста;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- 81,9 тыс. рублей – выплата денежной компенсации не подтвержденная первичными документами;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- 586,</w:t>
      </w:r>
      <w:r>
        <w:rPr>
          <w:sz w:val="28"/>
          <w:szCs w:val="28"/>
          <w:lang w:eastAsia="ru-RU"/>
        </w:rPr>
        <w:t xml:space="preserve">2 тыс. рублей – документально не подтвержденные расходы;</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- 219,0 тыс. рублей - недостача материальных ценностей, установленная по результатам инвентаризации, выбытие которых не подтверждено первичными учетными документами.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«Использование средств нормирован</w:t>
      </w:r>
      <w:r>
        <w:rPr>
          <w:sz w:val="28"/>
          <w:szCs w:val="28"/>
          <w:lang w:eastAsia="ru-RU"/>
        </w:rPr>
        <w:t xml:space="preserve">ного страхового запаса территориального фонда в нарушение условий их получения на приобретение медицинского оборудования» - 249,0 тыс. рублей или 2,9% от выявленной суммы нецелевого использования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- 249,0 тыс. рублей - компенсация из средств НС</w:t>
      </w:r>
      <w:r>
        <w:rPr>
          <w:sz w:val="28"/>
          <w:szCs w:val="28"/>
          <w:lang w:eastAsia="ru-RU"/>
        </w:rPr>
        <w:t xml:space="preserve">З затрат за оборудование, приобретенное из средств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Возвращено в бюджет ТФОМС Липецкой области в соответствии  с требованиями Федерального закона от 29.11.2010 № 326-ФЗ «Об обязательном медицинском страховании в Российской Федерации» - 7 414,3 тыс. руб</w:t>
      </w:r>
      <w:r>
        <w:rPr>
          <w:sz w:val="28"/>
          <w:szCs w:val="28"/>
          <w:lang w:eastAsia="ru-RU"/>
        </w:rPr>
        <w:t xml:space="preserve">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Уменьшено в отчетном периоде сумм выявленного нецелевого использования средств по решениям судебных органов – 889,1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 состоянию на 31.12.2024 года остаток невозвращенных медицинскими организациями средств ОМС составляет 4 376,7 тыс. рубле</w:t>
      </w:r>
      <w:r>
        <w:rPr>
          <w:sz w:val="28"/>
          <w:szCs w:val="28"/>
          <w:lang w:eastAsia="ru-RU"/>
        </w:rPr>
        <w:t xml:space="preserve">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Остаток задолженности по штрафам по результатам проверок по состоянию на 01.01.2024 года составлял 474,3 тыс. рублей , в том числе: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медицинским организациям – 364,8 тыс.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страховым медицинским организациям – 109,5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Сумма предъявл</w:t>
      </w:r>
      <w:r>
        <w:rPr>
          <w:sz w:val="28"/>
          <w:szCs w:val="28"/>
          <w:lang w:eastAsia="ru-RU"/>
        </w:rPr>
        <w:t xml:space="preserve">енных штрафов, пеней за нецелевое использование средств ОМС по результатам проверок деятельности страховых медицинских организаций и медицинских организаций в сфере обязательного медицинского страхования за 2024 год составила: 1 674,2 тыс. рублей. в том чи</w:t>
      </w:r>
      <w:r>
        <w:rPr>
          <w:sz w:val="28"/>
          <w:szCs w:val="28"/>
          <w:lang w:eastAsia="ru-RU"/>
        </w:rPr>
        <w:t xml:space="preserve">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медицинским </w:t>
      </w:r>
      <w:r>
        <w:rPr>
          <w:sz w:val="28"/>
          <w:szCs w:val="28"/>
          <w:lang w:eastAsia="ru-RU"/>
        </w:rPr>
        <w:t xml:space="preserve">организациям –1 615,4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страховым медицинским организациям — 58,8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Получено в отчетном периоде штрафов, пеней в размере 1 367,9 тыс. рублей, в том числе: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 результатам проверок медицинских организаций — 1 199,6</w:t>
      </w:r>
      <w:r>
        <w:rPr>
          <w:sz w:val="28"/>
          <w:szCs w:val="28"/>
          <w:lang w:eastAsia="ru-RU"/>
        </w:rPr>
        <w:t xml:space="preserve"> тыс.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страховых медицинских организаций - 168,3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Уменьшено в отчетном периоде сумм предъявленных штрафов по результатам проверок по решению судебных органов – 88,9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Остаток задолженности по штрафам за нецелевое использование средств ОМС по результатам проверок </w:t>
      </w:r>
      <w:r>
        <w:rPr>
          <w:sz w:val="28"/>
          <w:szCs w:val="28"/>
          <w:lang w:eastAsia="ru-RU"/>
        </w:rPr>
        <w:t xml:space="preserve">отчетного периода по состоянию на 31.12.2024 составляет 691,7 тыс.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Отсутствие должного внутреннего контроля объемов, сроков, качества и условий предос</w:t>
      </w:r>
      <w:r>
        <w:rPr>
          <w:sz w:val="28"/>
          <w:szCs w:val="28"/>
          <w:lang w:eastAsia="ru-RU"/>
        </w:rPr>
        <w:t xml:space="preserve">тавления медицинской помощи способствует образованию финансовых потерь в медицинских организациях.</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 результатам проведенных за 2024 год проверок медицинских организаций финансовые потери в результате частичной или полной неоплаты медицинской помощи соста</w:t>
      </w:r>
      <w:r>
        <w:rPr>
          <w:sz w:val="28"/>
          <w:szCs w:val="28"/>
          <w:lang w:eastAsia="ru-RU"/>
        </w:rPr>
        <w:t xml:space="preserve">вили 96 848,4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ходе контрольных мероприятий за 2024 года были установлены нарушения</w:t>
      </w:r>
      <w:r>
        <w:rPr>
          <w:sz w:val="28"/>
          <w:szCs w:val="28"/>
          <w:lang w:eastAsia="ru-RU"/>
        </w:rPr>
        <w:t xml:space="preserve">,</w:t>
      </w:r>
      <w:r>
        <w:rPr>
          <w:sz w:val="28"/>
          <w:szCs w:val="28"/>
          <w:lang w:eastAsia="ru-RU"/>
        </w:rPr>
        <w:t xml:space="preserve"> приведшие к неэффективному использованию средств ОМС на сумму 17 939,5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в виде оплаты штрафных санкций по предписаниям страховых медицинских ор</w:t>
      </w:r>
      <w:r>
        <w:rPr>
          <w:sz w:val="28"/>
          <w:szCs w:val="28"/>
          <w:lang w:eastAsia="ru-RU"/>
        </w:rPr>
        <w:t xml:space="preserve">ганизаций по результатам медико-экономического контроля, медико-экономической экспертизы, экспертизы качества медицинской помощи – 17 542,8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лекарственные средства с истекшим сроком годности, находящиеся в карантинной зоне или переданные на у</w:t>
      </w:r>
      <w:r>
        <w:rPr>
          <w:sz w:val="28"/>
          <w:szCs w:val="28"/>
          <w:lang w:eastAsia="ru-RU"/>
        </w:rPr>
        <w:t xml:space="preserve">ничтожение – 396,7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 целью исключения случаев неэффективного использования денежных средств ОМС административно-управленческому персоналу медицинских организаций необходимо:</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усилить внутренний контроль объемов, сроков, качества и условий предоставления медицинской помощи в целях недопущения штрафных санкций по предписаниям страховых медицинских организаций;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осуществлять в постоянном режиме контроль учета медикаментов, хими</w:t>
      </w:r>
      <w:r>
        <w:rPr>
          <w:sz w:val="28"/>
          <w:szCs w:val="28"/>
          <w:lang w:eastAsia="ru-RU"/>
        </w:rPr>
        <w:t xml:space="preserve">ческих реактивов и расходных материалов и использовать эти данные для формирования рациональных запасов медикаментов, а также своевременно принимать меры по реализации лекарственных средств с истекающим сроком годности.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Выявленные при проверках нарушения п</w:t>
      </w:r>
      <w:r>
        <w:rPr>
          <w:sz w:val="28"/>
          <w:szCs w:val="28"/>
          <w:lang w:eastAsia="ru-RU"/>
        </w:rPr>
        <w:t xml:space="preserve">риводят к </w:t>
      </w:r>
      <w:r>
        <w:rPr>
          <w:sz w:val="28"/>
          <w:szCs w:val="28"/>
          <w:lang w:eastAsia="ru-RU"/>
        </w:rPr>
        <w:t xml:space="preserve">отвлечению средств обязательного медицинского страхования, снижению финансовой устойчивости и образованию кредиторской задолженности в медицинских организациях.</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Исключение в медицинских организациях фактов нецелевого и неэффективного использован</w:t>
      </w:r>
      <w:r>
        <w:rPr>
          <w:sz w:val="28"/>
          <w:szCs w:val="28"/>
          <w:lang w:eastAsia="ru-RU"/>
        </w:rPr>
        <w:t xml:space="preserve">ия средств ОМС является дополнительным источником для своевременных расчетов с поставщиками за материальные ценности, и как следствие приводит к снижению кредиторской задолженности.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Руководителям медицинских организаций необходимо принять меры по усилению </w:t>
      </w:r>
      <w:r>
        <w:rPr>
          <w:sz w:val="28"/>
          <w:szCs w:val="28"/>
          <w:lang w:eastAsia="ru-RU"/>
        </w:rPr>
        <w:t xml:space="preserve">финансовой дисциплины. Недопустимость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 соблюдение которого частично гарантирует достижение поставленных пер</w:t>
      </w:r>
      <w:r>
        <w:rPr>
          <w:sz w:val="28"/>
          <w:szCs w:val="28"/>
          <w:lang w:eastAsia="ru-RU"/>
        </w:rPr>
        <w:t xml:space="preserve">ед ними задач.</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2024 года сократилась на 93%, на 01.01.2024 она составляла 52 203,9 тыс. р</w:t>
      </w:r>
      <w:r>
        <w:rPr>
          <w:sz w:val="28"/>
          <w:szCs w:val="28"/>
          <w:lang w:eastAsia="ru-RU"/>
        </w:rPr>
        <w:t xml:space="preserve">ублей, на 01.01.2025 она составила 3 809,6 тыс. рублей</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рамках контроля объемов, сроков, качества и условий оказания медицинской помощи, оказанной медицинскими организациями Липецкой области, специалистами СМО в отчетном периоде проводились экспертные мер</w:t>
      </w:r>
      <w:r>
        <w:rPr>
          <w:sz w:val="28"/>
          <w:szCs w:val="28"/>
          <w:lang w:eastAsia="ru-RU"/>
        </w:rPr>
        <w:t xml:space="preserve">оприятия в соответствии с действующими нормативными актами.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За период январь-декабрь  2024 года подвергнуто экспертизам 120,8 тыс. страховых случаев медицинской помощи, оказанных гражданам, застрахованным на территории Липецкой области, в том числе в ходе </w:t>
      </w:r>
      <w:r>
        <w:rPr>
          <w:sz w:val="28"/>
          <w:szCs w:val="28"/>
          <w:lang w:eastAsia="ru-RU"/>
        </w:rPr>
        <w:t xml:space="preserve">плановых проверок - 29,0 тысяч.</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При проведении медико-экономических экспертиз (МЭЭ) за январь-декабрь 2024 года было проанализировано 92,9 тыс. случаев оказания медицинской помощи, в том числе при целевых проверках 70,5 тыс. случаев.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результате МЭЭ было</w:t>
      </w:r>
      <w:r>
        <w:rPr>
          <w:sz w:val="28"/>
          <w:szCs w:val="28"/>
          <w:lang w:eastAsia="ru-RU"/>
        </w:rPr>
        <w:t xml:space="preserve"> установлено 23 755 нарушение (26%), отмечается увеличение количества дефектов в сравнении с аналогичным периодом 2023 года, когда данный показатель составлял 17% (в 2022 - 11%).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Количество нарушений по причине «непредставление первичной медицинской докум</w:t>
      </w:r>
      <w:r>
        <w:rPr>
          <w:sz w:val="28"/>
          <w:szCs w:val="28"/>
          <w:lang w:eastAsia="ru-RU"/>
        </w:rPr>
        <w:t xml:space="preserve">ентации, подтверждающей факт оказания ЗЛ медицинской помощи», составило – 4 432 или 19% от общего количества нарушений, по сравнению с аналогичным периодом 2023 года количество данных нарушений уменьшилось в 2 раза.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Количество нарушений по причине «несоотв</w:t>
      </w:r>
      <w:r>
        <w:rPr>
          <w:sz w:val="28"/>
          <w:szCs w:val="28"/>
          <w:lang w:eastAsia="ru-RU"/>
        </w:rPr>
        <w:t xml:space="preserve">етствие данных первичной медицинской документации данным реестра счетов», составило – 12 811 или 54% от общего количества нарушений, что в 1,5 раза больше, чем в аналогичном периоде 2023 года.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Количество нарушений по причине «отсутствие в документации инф</w:t>
      </w:r>
      <w:r>
        <w:rPr>
          <w:sz w:val="28"/>
          <w:szCs w:val="28"/>
          <w:lang w:eastAsia="ru-RU"/>
        </w:rPr>
        <w:t xml:space="preserve">ормированного добровольного согласия застрахованного лица на медицинское вмешательство», </w:t>
      </w:r>
      <w:r>
        <w:rPr>
          <w:sz w:val="28"/>
          <w:szCs w:val="28"/>
          <w:lang w:eastAsia="ru-RU"/>
        </w:rPr>
        <w:t xml:space="preserve">составило – 4 982 или 21% от общего количества нарушений, что на 5% меньше, чем в аналогичном периоде 2023 года.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ходе экспертиз качества медицинской помощи (ЭКМП) </w:t>
      </w:r>
      <w:r>
        <w:rPr>
          <w:sz w:val="28"/>
          <w:szCs w:val="28"/>
          <w:lang w:eastAsia="ru-RU"/>
        </w:rPr>
        <w:t xml:space="preserve">было проанализировано 27,9 тыс. случаев оказания медицинской помощи, в том числе при целевых проверках – 21,2 тыс. случаев.</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результате ЭКМП было установлено 10 904 нарушения (39%), отмечается увеличение в сравнении с аналогичным периодом 2023 года, когда</w:t>
      </w:r>
      <w:r>
        <w:rPr>
          <w:sz w:val="28"/>
          <w:szCs w:val="28"/>
          <w:lang w:eastAsia="ru-RU"/>
        </w:rPr>
        <w:t xml:space="preserve"> данный показатель составлял 37%.</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Наибольшее количество нарушений – «невыполнение, несвоевременное или ненадлежащее выполнение необходимых пациенту диагностических и (или) лечебных мероприятий, оперативных вмешательств в соответствии с порядками оказания м</w:t>
      </w:r>
      <w:r>
        <w:rPr>
          <w:sz w:val="28"/>
          <w:szCs w:val="28"/>
          <w:lang w:eastAsia="ru-RU"/>
        </w:rPr>
        <w:t xml:space="preserve">едицинской помощи, на основе клинических рекомендаций и с учетом стандартов медицинской помощи» - 6 254 или 57% от общего количества нарушений, в том числе при проведении диспансеризации определенных групп взрослого населения – 3 108 (57%).</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При проведении </w:t>
      </w:r>
      <w:r>
        <w:rPr>
          <w:sz w:val="28"/>
          <w:szCs w:val="28"/>
          <w:lang w:eastAsia="ru-RU"/>
        </w:rPr>
        <w:t xml:space="preserve">ЭКМП установлены нарушения из раздела 2 Перечня оснований для отказа в оплате медицинской помощи (уменьшения в оплате медицинской помощи), количество их составило – 2 251 или 21% от общего количества нарушений, в том числе:</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«несоответствие данных первичн</w:t>
      </w:r>
      <w:r>
        <w:rPr>
          <w:sz w:val="28"/>
          <w:szCs w:val="28"/>
          <w:lang w:eastAsia="ru-RU"/>
        </w:rPr>
        <w:t xml:space="preserve">ой медицинской документации данным реестра счетов», составило – 1 351 или 60% от количества нарушений из раздела 2;</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«отсутствие в документации информированного добровольного согласия застрахованного лица на медицинское вмешательство», составило – 353 или</w:t>
      </w:r>
      <w:r>
        <w:rPr>
          <w:sz w:val="28"/>
          <w:szCs w:val="28"/>
          <w:lang w:eastAsia="ru-RU"/>
        </w:rPr>
        <w:t xml:space="preserve"> 160% от количества нарушений из раздела 2;</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 «непредставление первичной медицинской документации, подтверждающей факт оказания ЗЛ медицинской помощи», составило – 184 или 8% от общего количества нарушений из раздела 2.</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По итогам МЭЭ и ЭКМП к медицинским о</w:t>
      </w:r>
      <w:r>
        <w:rPr>
          <w:sz w:val="28"/>
          <w:szCs w:val="28"/>
          <w:lang w:eastAsia="ru-RU"/>
        </w:rPr>
        <w:t xml:space="preserve">рганизациям применены финансовые санкции в размере 125,1 млн. рублей.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2024 году проведено 190 144 контрольно-экспертных мероприятия по случаям оказания медицинской помощи пациентам с подозрением на злокачественные новообразования (ЗНО) и/или с подтвержд</w:t>
      </w:r>
      <w:r>
        <w:rPr>
          <w:sz w:val="28"/>
          <w:szCs w:val="28"/>
          <w:lang w:eastAsia="ru-RU"/>
        </w:rPr>
        <w:t xml:space="preserve">енным диагнозом ЗНО, в том числе 177 589 медико-экономического контроля, 11 618 медико-экономических экспертиз, 937 экспертиз качества медицинской помощи. По результатам контрольно-экспертных мероприятий выявлено 6 101 дефектов, в том числе 999 по страховы</w:t>
      </w:r>
      <w:r>
        <w:rPr>
          <w:sz w:val="28"/>
          <w:szCs w:val="28"/>
          <w:lang w:eastAsia="ru-RU"/>
        </w:rPr>
        <w:t xml:space="preserve">м случаям с применением химиотерапии.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За период </w:t>
      </w:r>
      <w:r>
        <w:rPr>
          <w:sz w:val="28"/>
          <w:szCs w:val="28"/>
          <w:lang w:eastAsia="ru-RU"/>
        </w:rPr>
        <w:t xml:space="preserve">январь-декабрь 2024 года специалистами ТФОМС Липецкой области и экспертами качества медицинской помощи, входящими в реестр экспертов качества медицинской помощи, привлекаемыми на договорной основе, проводили</w:t>
      </w:r>
      <w:r>
        <w:rPr>
          <w:sz w:val="28"/>
          <w:szCs w:val="28"/>
          <w:lang w:eastAsia="ru-RU"/>
        </w:rPr>
        <w:t xml:space="preserve">сь повторные медико-экономические экспертизы и</w:t>
      </w:r>
      <w:r>
        <w:rPr>
          <w:sz w:val="28"/>
          <w:szCs w:val="28"/>
          <w:lang w:eastAsia="ru-RU"/>
        </w:rPr>
        <w:t xml:space="preserve"> экспертизы качества медицинской помощи.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Количество страховых случаев, подвергшихся повторной МЭЭ, составило 2 411, количество страховых случаев, подвергшихся повторной ЭКМП, составило 1 013, что соответствует</w:t>
      </w:r>
      <w:r>
        <w:rPr>
          <w:sz w:val="28"/>
          <w:szCs w:val="28"/>
          <w:lang w:eastAsia="ru-RU"/>
        </w:rPr>
        <w:t xml:space="preserve"> требованиям приказа ФФОМС от 19.03.2021 №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а также ее финансового обеспечения».</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Установлены на</w:t>
      </w:r>
      <w:r>
        <w:rPr>
          <w:sz w:val="28"/>
          <w:szCs w:val="28"/>
          <w:lang w:eastAsia="ru-RU"/>
        </w:rPr>
        <w:t xml:space="preserve">рушения в 55 случаях (1,6%), допущенные медицинскими организациями, но не выявленные СМО при первичном проведении экспертиз. По итогам повторных экспертиз к СМО применены штрафные санкций в размере 19 004,63 рублей - 10% от суммы, необоснованно оплаченной </w:t>
      </w:r>
      <w:r>
        <w:rPr>
          <w:sz w:val="28"/>
          <w:szCs w:val="28"/>
          <w:lang w:eastAsia="ru-RU"/>
        </w:rPr>
        <w:t xml:space="preserve">медицинским организациям.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За январь-декабрь 2024 года ТФОМС и СМО было рассмотрено 86 471обращений. В сравнении с аналогичным периодом 2023 года количество обращений уменьшилось на 20,3 тысяч.</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Всего обращений за разъяснениями, в том числе заявлений, 86 244, наибольшее количество по вопросам выбора и/или замены СМО, включение в единый регистр застрахованных, обеспечение выдачи полисов, о переоформлении полиса ОМС — 56 261 или 85% от общего количе</w:t>
      </w:r>
      <w:r>
        <w:rPr>
          <w:sz w:val="28"/>
          <w:szCs w:val="28"/>
          <w:lang w:eastAsia="ru-RU"/>
        </w:rPr>
        <w:t xml:space="preserve">ства.</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За период январь-декабрь 2024 года поступило 213</w:t>
      </w:r>
      <w:r>
        <w:rPr>
          <w:sz w:val="28"/>
          <w:szCs w:val="28"/>
          <w:lang w:eastAsia="ru-RU"/>
        </w:rPr>
        <w:t xml:space="preserve"> жалоб или 0,2% от общего числа обращений; в 2023 году данный показатель 178 (0,2%).</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Все жалобы рассмотрены в досудебном порядке, в установленные законом сроки, обоснованными признано 135 (63%), за ана</w:t>
      </w:r>
      <w:r>
        <w:rPr>
          <w:sz w:val="28"/>
          <w:szCs w:val="28"/>
          <w:lang w:eastAsia="ru-RU"/>
        </w:rPr>
        <w:t xml:space="preserve">логичный период 2023 года 124 жалобы (70%) были признаны обоснованными.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Структура обоснованных жалоб по причинам сложилась следующим образом:</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78 жалоб (58%) на качество медицинской помощи;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46 жалоб (33%) на недостоверные сведения об оказанных медицинских у</w:t>
      </w:r>
      <w:r>
        <w:rPr>
          <w:sz w:val="28"/>
          <w:szCs w:val="28"/>
          <w:lang w:eastAsia="ru-RU"/>
        </w:rPr>
        <w:t xml:space="preserve">слугах;</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9 жалоб (7%) на организацию работы медицинской организации;</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1 жалоба (1%) на отказ в оказании медицинской помощи по программам ОМС;</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1 жалоба (1%) на взимание денежных средств за оказанную медицинскую помощь.</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 августа 2022 года страховыми медицинск</w:t>
      </w:r>
      <w:r>
        <w:rPr>
          <w:sz w:val="28"/>
          <w:szCs w:val="28"/>
          <w:lang w:eastAsia="ru-RU"/>
        </w:rPr>
        <w:t xml:space="preserve">ими организациями в соответствии с требованиями приказа Минздрава России от 19.07.2022 № 495 «Об утверждении методики расчета дополнительного показателя «Оценка общественного мнения по удовлетворенности населения медицинской помощью, %» федерального проект</w:t>
      </w:r>
      <w:r>
        <w:rPr>
          <w:sz w:val="28"/>
          <w:szCs w:val="28"/>
          <w:lang w:eastAsia="ru-RU"/>
        </w:rPr>
        <w:t xml:space="preserve">а «Модернизация первичного звена Российской Федерации» ежемесячно проводится опрос населения по удовлетворенности населения медицинской помощью. В 2024 году опрошено 3 384 респондента, процент удовлетворенности составил 55,9%.</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 соответствии c Методически</w:t>
      </w:r>
      <w:r>
        <w:rPr>
          <w:sz w:val="28"/>
          <w:szCs w:val="28"/>
          <w:lang w:eastAsia="ru-RU"/>
        </w:rPr>
        <w:t xml:space="preserve">ми рекомендациями по способам оплаты медицинской помощи за счет средств обязательного медицинского страхования на 2024 год, Тарифным соглашением на оплату медицинской помощи по обязательному медицинскому страхованию на территории Липецкой области на 2024 г</w:t>
      </w:r>
      <w:r>
        <w:rPr>
          <w:sz w:val="28"/>
          <w:szCs w:val="28"/>
          <w:lang w:eastAsia="ru-RU"/>
        </w:rPr>
        <w:t xml:space="preserve">од предусмотрены выплаты медицинским организациям, имеющим прикрепившихся лиц за выполнение показателей результативности деятельности медицинских организаций.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Всего установлено 25 показателей, распределенных на 3 группы (отражающие</w:t>
      </w:r>
      <w:r>
        <w:rPr>
          <w:sz w:val="28"/>
          <w:szCs w:val="28"/>
          <w:lang w:eastAsia="ru-RU"/>
        </w:rPr>
        <w:t xml:space="preserve"> эффективность оказания медицинской помощи взрослому населению, детскому населению, акушерско-гинекологической медицинской помощи женщинам). За выполнение каждого из показателей медицинской организации начисляется определенной количество баллов (от 0,5 до </w:t>
      </w:r>
      <w:r>
        <w:rPr>
          <w:sz w:val="28"/>
          <w:szCs w:val="28"/>
          <w:lang w:eastAsia="ru-RU"/>
        </w:rPr>
        <w:t xml:space="preserve">2).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С учетом фактического выполнения показателей, медицинские организации распределяются на три группы: </w:t>
      </w:r>
      <w:r>
        <w:rPr>
          <w:sz w:val="28"/>
          <w:szCs w:val="28"/>
          <w:lang w:val="en-US" w:eastAsia="ru-RU"/>
        </w:rPr>
        <w:t xml:space="preserve">I</w:t>
      </w:r>
      <w:r>
        <w:rPr>
          <w:sz w:val="28"/>
          <w:szCs w:val="28"/>
          <w:lang w:eastAsia="ru-RU"/>
        </w:rPr>
        <w:t xml:space="preserve"> – выполнившие до 40 процентов показателей, II – от 40 (включительно) до 60 процентов показателей, </w:t>
      </w:r>
      <w:r>
        <w:rPr>
          <w:sz w:val="28"/>
          <w:szCs w:val="28"/>
          <w:lang w:val="en-US" w:eastAsia="ru-RU"/>
        </w:rPr>
        <w:t xml:space="preserve">III</w:t>
      </w:r>
      <w:r>
        <w:rPr>
          <w:sz w:val="28"/>
          <w:szCs w:val="28"/>
          <w:lang w:eastAsia="ru-RU"/>
        </w:rPr>
        <w:t xml:space="preserve"> – от 60 (включительно) процентов показателей.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Выплаты предусмотрены только медицинским организациям II и III группы.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Осуществление выплат производилось с учетом выполнения объемов амбулаторной медицинской помощи и с учетом оценки показателей смертности прикрепившихся лиц (выплаты в полном объеме полу</w:t>
      </w:r>
      <w:r>
        <w:rPr>
          <w:sz w:val="28"/>
          <w:szCs w:val="28"/>
          <w:lang w:eastAsia="ru-RU"/>
        </w:rPr>
        <w:t xml:space="preserve">чили медицинские организации, выполнившие 90% и более от плановых объемов амбулаторной медицинской помощи, в которых отмечено снижение показателей смертности прикрепившихся лиц).</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t xml:space="preserve">Общая сумма выплат за 2024 год составила 111,4 млн. рублей. Размер выплат по </w:t>
      </w:r>
      <w:r>
        <w:rPr>
          <w:sz w:val="28"/>
          <w:szCs w:val="28"/>
          <w:lang w:eastAsia="ru-RU"/>
        </w:rPr>
        <w:t xml:space="preserve">медицинским организациям составил от 993 тыс. рублей до 6,9 млн. рублей. Выплаты были направлены в медицинские организации при оплате счетов за ноябрь 2024 года. </w:t>
      </w:r>
      <w:r>
        <w:rPr>
          <w:sz w:val="28"/>
          <w:szCs w:val="28"/>
          <w:lang w:eastAsia="ru-RU"/>
        </w:rPr>
      </w:r>
      <w:r>
        <w:rPr>
          <w:sz w:val="28"/>
          <w:szCs w:val="28"/>
          <w:lang w:eastAsia="ru-RU"/>
        </w:rPr>
      </w:r>
    </w:p>
    <w:p>
      <w:pPr>
        <w:pStyle w:val="1_634"/>
        <w:ind w:firstLine="720"/>
        <w:jc w:val="both"/>
        <w:spacing w:after="0"/>
        <w:tabs>
          <w:tab w:val="left" w:pos="720" w:leader="none"/>
        </w:tabs>
        <w:rPr>
          <w:sz w:val="28"/>
          <w:szCs w:val="28"/>
          <w:highlight w:val="none"/>
          <w:lang w:eastAsia="ru-RU"/>
        </w:rPr>
      </w:pPr>
      <w:r>
        <w:rPr>
          <w:sz w:val="28"/>
          <w:szCs w:val="28"/>
          <w:lang w:eastAsia="ru-RU"/>
        </w:rPr>
        <w:t xml:space="preserve">Информация об общей сумме выплат за выполнение показателей результативности в 2024 году в раз</w:t>
      </w:r>
      <w:r>
        <w:rPr>
          <w:sz w:val="28"/>
          <w:szCs w:val="28"/>
          <w:lang w:eastAsia="ru-RU"/>
        </w:rPr>
        <w:t xml:space="preserve">резе медицинских организаций представлена в таблице.</w:t>
      </w:r>
      <w:r>
        <w:rPr>
          <w:sz w:val="28"/>
          <w:szCs w:val="28"/>
          <w:highlight w:val="none"/>
          <w:lang w:eastAsia="ru-RU"/>
        </w:rPr>
      </w:r>
      <w:r>
        <w:rPr>
          <w:sz w:val="28"/>
          <w:szCs w:val="28"/>
          <w:highlight w:val="none"/>
          <w:lang w:eastAsia="ru-RU"/>
        </w:rPr>
      </w:r>
    </w:p>
    <w:p>
      <w:pPr>
        <w:pStyle w:val="1_634"/>
        <w:ind w:firstLine="720"/>
        <w:jc w:val="both"/>
        <w:spacing w:after="0"/>
        <w:tabs>
          <w:tab w:val="left" w:pos="720" w:leader="none"/>
        </w:tabs>
        <w:rPr>
          <w:sz w:val="28"/>
          <w:szCs w:val="28"/>
          <w:lang w:eastAsia="ru-RU"/>
        </w:rPr>
      </w:pPr>
      <w:r>
        <w:rPr>
          <w:sz w:val="28"/>
          <w:szCs w:val="28"/>
          <w:highlight w:val="none"/>
          <w:lang w:eastAsia="ru-RU"/>
        </w:rPr>
      </w:r>
      <w:r>
        <w:rPr>
          <w:sz w:val="28"/>
          <w:szCs w:val="28"/>
          <w:lang w:eastAsia="ru-RU"/>
        </w:rPr>
      </w:r>
      <w:r>
        <w:rPr>
          <w:sz w:val="28"/>
          <w:szCs w:val="28"/>
          <w:lang w:eastAsia="ru-RU"/>
        </w:rPr>
      </w:r>
    </w:p>
    <w:p>
      <w:pPr>
        <w:pStyle w:val="1_634"/>
        <w:ind w:firstLine="720"/>
        <w:jc w:val="both"/>
        <w:spacing w:after="0"/>
        <w:tabs>
          <w:tab w:val="left" w:pos="720" w:leader="none"/>
        </w:tabs>
        <w:rPr>
          <w:sz w:val="28"/>
          <w:szCs w:val="28"/>
          <w:lang w:eastAsia="ru-RU"/>
        </w:rPr>
      </w:pPr>
      <w:r>
        <w:rPr>
          <w:sz w:val="28"/>
          <w:szCs w:val="28"/>
          <w:lang w:eastAsia="ru-RU"/>
        </w:rPr>
      </w:r>
      <w:r>
        <w:rPr>
          <w:sz w:val="28"/>
          <w:szCs w:val="28"/>
          <w:lang w:eastAsia="ru-RU"/>
        </w:rPr>
      </w:r>
      <w:r>
        <w:rPr>
          <w:sz w:val="28"/>
          <w:szCs w:val="28"/>
          <w:lang w:eastAsia="ru-RU"/>
        </w:rPr>
      </w:r>
    </w:p>
    <w:tbl>
      <w:tblPr>
        <w:tblStyle w:val="48"/>
        <w:tblW w:w="0" w:type="auto"/>
        <w:tblLayout w:type="fixed"/>
        <w:tblLook w:val="04A0" w:firstRow="1" w:lastRow="0" w:firstColumn="1" w:lastColumn="0" w:noHBand="0" w:noVBand="1"/>
      </w:tblPr>
      <w:tblGrid>
        <w:gridCol w:w="7660"/>
        <w:gridCol w:w="1843"/>
      </w:tblGrid>
      <w:tr>
        <w:tblPrEx/>
        <w:trPr>
          <w:trHeight w:val="11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jc w:val="center"/>
              <w:spacing w:after="0"/>
              <w:rPr>
                <w:color w:val="000000" w:themeColor="text1"/>
              </w:rPr>
            </w:pPr>
            <w:r>
              <w:rPr>
                <w:rFonts w:ascii="Times New Roman" w:hAnsi="Times New Roman" w:eastAsia="Times New Roman" w:cs="Times New Roman"/>
                <w:color w:val="000000" w:themeColor="text1"/>
                <w:sz w:val="22"/>
                <w:szCs w:val="22"/>
              </w:rPr>
              <w:t xml:space="preserve">Наименование МО</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contextualSpacing/>
              <w:ind w:left="57"/>
              <w:jc w:val="center"/>
              <w:spacing w:after="0"/>
              <w:rPr>
                <w:color w:val="000000" w:themeColor="text1"/>
              </w:rPr>
            </w:pPr>
            <w:r>
              <w:rPr>
                <w:rFonts w:ascii="Times New Roman" w:hAnsi="Times New Roman" w:eastAsia="Times New Roman" w:cs="Times New Roman"/>
                <w:color w:val="000000" w:themeColor="text1"/>
                <w:sz w:val="22"/>
                <w:szCs w:val="22"/>
              </w:rPr>
              <w:t xml:space="preserve">Сумма стимулирующих выплат за 2024 год, всего, млн. рублей</w:t>
            </w:r>
            <w:r>
              <w:rPr>
                <w:color w:val="000000" w:themeColor="text1"/>
              </w:rPr>
            </w:r>
            <w:r>
              <w:rPr>
                <w:color w:val="000000" w:themeColor="text1"/>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БОЛЬНИЦА №4  ЛИПЕЦК-МЕД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6,3</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ЛИПЕЦКАЯ ГОРБОЛЬНИЦА №3  СВОБОДНЫЙ СОКОЛ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4,8</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ПОЛИКЛИНИКА №4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5,9</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71" w:lineRule="auto"/>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ПОЛИКЛИНИКА №1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4,4</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ПОЛИКЛИНИКА №2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5,7</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ДЕТСКАЯ БОЛЬНИЦА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0,0</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ПОЛИКЛИНИКА №5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3,8</w:t>
            </w:r>
            <w:r>
              <w:rPr>
                <w:color w:val="000000" w:themeColor="text1"/>
                <w:sz w:val="32"/>
                <w:szCs w:val="32"/>
              </w:rPr>
            </w:r>
            <w:r>
              <w:rPr>
                <w:color w:val="000000" w:themeColor="text1"/>
                <w:sz w:val="32"/>
                <w:szCs w:val="32"/>
              </w:rPr>
            </w:r>
          </w:p>
        </w:tc>
      </w:tr>
      <w:tr>
        <w:tblPrEx/>
        <w:trPr>
          <w:trHeight w:val="224"/>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ЛОКЦ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2,7</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ЛИПЕЦКАЯ ГБСМП №1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5,1</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ЛИПЕЦКАЯ ГОРОДСКАЯ ПОЛИКЛИНИКА №7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6,9</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ЕЛЕЦКАЯ ГОРОДСКАЯ ДЕТСКАЯ БОЛЬНИЦА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1,8</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ЕЛЕЦКАЯ ГОРОДСКАЯ БОЛЬНИЦА №1 ИМ.СЕМАШКО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4,5</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ЕЛЕЦКАЯ ГОРОДСКАЯ БОЛЬНИЦА № 2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4,3</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ЧУЗ  РЖД - МЕДИЦИНА   Г.ЕЛЕЦ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2,5</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ВОЛОВСКАЯ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2,0</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ГРЯЗИНСКАЯ ЦРБ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5,9</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ДАНКОВСКАЯ ЦРБ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4,2</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ДОБРИНСКАЯ ЦРБ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3,6</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ДОБРОВСКАЯ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1,5</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ДОЛГОРУКОВСКАЯ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3,1</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line="257" w:lineRule="auto"/>
              <w:rPr>
                <w:color w:val="000000" w:themeColor="text1"/>
              </w:rPr>
            </w:pPr>
            <w:r>
              <w:rPr>
                <w:rFonts w:ascii="Times New Roman" w:hAnsi="Times New Roman" w:eastAsia="Times New Roman" w:cs="Times New Roman"/>
                <w:color w:val="000000" w:themeColor="text1"/>
                <w:sz w:val="22"/>
                <w:szCs w:val="22"/>
              </w:rPr>
              <w:t xml:space="preserve">ГУЗ  ЕЛЕЦКАЯ РБ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1,7</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ЗАДОНСКАЯ ЦРБ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3,7</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ИЗМАЛКОВСКАЯ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1,0</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КРАСНИНСКАЯ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2,4</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ЛЕБЕДЯНСКАЯ ЦРБ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4,2</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ЛЕВ-ТОЛСТОВСКАЯ РБ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2,2</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ЛИПЕЦКАЯ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6,0</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СТАНОВЛЯНСКАЯ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1,0</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ТЕРБУНСКАЯ ЦРБ             </w:t>
            </w:r>
            <w:r>
              <w:rPr>
                <w:rFonts w:ascii="Times New Roman" w:hAnsi="Times New Roman" w:eastAsia="Times New Roman" w:cs="Times New Roman"/>
                <w:color w:val="000000" w:themeColor="text1"/>
                <w:sz w:val="22"/>
                <w:szCs w:val="22"/>
              </w:rPr>
              <w:t xml:space="preserve">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2,5</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УСМАНСКАЯ ЦРБ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4,6</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ХЛЕВЕНСКАЯ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1,2</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color w:val="000000" w:themeColor="text1"/>
                <w:sz w:val="22"/>
                <w:szCs w:val="22"/>
              </w:rPr>
              <w:t xml:space="preserve">ГУЗ   ЧАПЛЫГИНСКАЯ РБ                                                                     </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color w:val="000000" w:themeColor="text1"/>
                <w:sz w:val="22"/>
                <w:szCs w:val="22"/>
              </w:rPr>
              <w:t xml:space="preserve">1,9</w:t>
            </w:r>
            <w:r>
              <w:rPr>
                <w:color w:val="000000" w:themeColor="text1"/>
                <w:sz w:val="32"/>
                <w:szCs w:val="32"/>
              </w:rPr>
            </w:r>
            <w:r>
              <w:rPr>
                <w:color w:val="000000" w:themeColor="text1"/>
                <w:sz w:val="32"/>
                <w:szCs w:val="32"/>
              </w:rPr>
            </w:r>
          </w:p>
        </w:tc>
      </w:tr>
      <w:tr>
        <w:tblPrEx/>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660" w:type="dxa"/>
            <w:vAlign w:val="center"/>
            <w:textDirection w:val="lrTb"/>
            <w:noWrap w:val="false"/>
          </w:tcPr>
          <w:p>
            <w:pPr>
              <w:contextualSpacing/>
              <w:ind w:left="57"/>
              <w:spacing w:after="0"/>
              <w:rPr>
                <w:color w:val="000000" w:themeColor="text1"/>
              </w:rPr>
            </w:pPr>
            <w:r>
              <w:rPr>
                <w:rFonts w:ascii="Times New Roman" w:hAnsi="Times New Roman" w:eastAsia="Times New Roman" w:cs="Times New Roman"/>
                <w:b/>
                <w:color w:val="000000" w:themeColor="text1"/>
                <w:sz w:val="22"/>
                <w:szCs w:val="22"/>
              </w:rPr>
              <w:t xml:space="preserve">ВСЕГО</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ind w:right="57"/>
              <w:jc w:val="center"/>
              <w:spacing w:after="0"/>
              <w:rPr>
                <w:color w:val="000000" w:themeColor="text1"/>
                <w:sz w:val="32"/>
                <w:szCs w:val="32"/>
              </w:rPr>
            </w:pPr>
            <w:r>
              <w:rPr>
                <w:rFonts w:ascii="Times New Roman" w:hAnsi="Times New Roman" w:eastAsia="Times New Roman" w:cs="Times New Roman"/>
                <w:b/>
                <w:bCs/>
                <w:color w:val="000000" w:themeColor="text1"/>
                <w:sz w:val="22"/>
                <w:szCs w:val="22"/>
              </w:rPr>
              <w:t xml:space="preserve">111,4</w:t>
            </w:r>
            <w:r>
              <w:rPr>
                <w:color w:val="000000" w:themeColor="text1"/>
                <w:sz w:val="32"/>
                <w:szCs w:val="32"/>
              </w:rPr>
            </w:r>
            <w:r>
              <w:rPr>
                <w:color w:val="000000" w:themeColor="text1"/>
                <w:sz w:val="32"/>
                <w:szCs w:val="32"/>
              </w:rPr>
            </w:r>
          </w:p>
        </w:tc>
      </w:tr>
    </w:tbl>
    <w:p>
      <w:pPr>
        <w:pStyle w:val="1_636"/>
        <w:ind w:firstLine="700"/>
        <w:spacing w:before="0" w:line="283" w:lineRule="atLeast"/>
        <w:shd w:val="clear" w:color="auto" w:fill="auto"/>
        <w:rPr>
          <w:color w:val="000000" w:themeColor="text1"/>
          <w:highlight w:val="yellow"/>
        </w:rPr>
      </w:pPr>
      <w:r>
        <w:rPr>
          <w:color w:val="000000" w:themeColor="text1"/>
          <w:highlight w:val="yellow"/>
        </w:rPr>
      </w:r>
      <w:r>
        <w:rPr>
          <w:color w:val="000000" w:themeColor="text1"/>
          <w:highlight w:val="yellow"/>
        </w:rPr>
      </w:r>
      <w:r>
        <w:rPr>
          <w:color w:val="000000" w:themeColor="text1"/>
          <w:highlight w:val="yellow"/>
        </w:rPr>
      </w:r>
    </w:p>
    <w:p>
      <w:pPr>
        <w:pStyle w:val="1_636"/>
        <w:ind w:firstLine="700"/>
        <w:spacing w:before="0" w:line="283" w:lineRule="atLeast"/>
        <w:shd w:val="clear" w:color="auto" w:fill="auto"/>
        <w:rPr>
          <w:color w:val="000000" w:themeColor="text1"/>
        </w:rPr>
      </w:pPr>
      <w:r>
        <w:rPr>
          <w:color w:val="000000" w:themeColor="text1"/>
          <w:sz w:val="28"/>
          <w:szCs w:val="28"/>
        </w:rPr>
        <w:t xml:space="preserve">Таким образом, денежные средства за выполнение показателей результативности в 2024</w:t>
      </w:r>
      <w:r>
        <w:rPr>
          <w:color w:val="000000" w:themeColor="text1"/>
          <w:sz w:val="28"/>
          <w:szCs w:val="28"/>
        </w:rPr>
        <w:t xml:space="preserve"> году были направлены во все медицинские организации, имеющие прикрепившихся лиц, за исключением ГУЗ «Липецкая городская детская больница», отнесенной к I группе, не предусматривающей получение выплат.</w:t>
      </w:r>
      <w:r>
        <w:rPr>
          <w:color w:val="000000" w:themeColor="text1"/>
        </w:rPr>
      </w:r>
      <w:r>
        <w:rPr>
          <w:color w:val="000000" w:themeColor="text1"/>
        </w:rPr>
      </w:r>
    </w:p>
    <w:p>
      <w: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17"/>
    <w:next w:val="617"/>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17"/>
    <w:next w:val="61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17"/>
    <w:next w:val="61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17"/>
    <w:next w:val="61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17"/>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17"/>
    <w:next w:val="61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1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1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1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1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1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1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1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1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1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1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1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1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1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1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1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61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1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1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1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1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1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1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1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18"/>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1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1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1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18"/>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1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1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1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1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1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1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1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1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1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6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1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1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61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1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61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1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1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1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61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1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1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1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1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1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1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1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1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1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61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1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1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1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61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1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1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61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1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1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1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61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1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1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61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1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1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1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61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1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table" w:styleId="618" w:default="1">
    <w:name w:val="Normal Table"/>
    <w:uiPriority w:val="99"/>
    <w:semiHidden/>
    <w:unhideWhenUsed/>
    <w:tblPr>
      <w:tblInd w:w="0" w:type="dxa"/>
      <w:tblCellMar>
        <w:left w:w="108" w:type="dxa"/>
        <w:top w:w="0" w:type="dxa"/>
        <w:right w:w="108" w:type="dxa"/>
        <w:bottom w:w="0" w:type="dxa"/>
      </w:tblCellMar>
    </w:tblPr>
  </w:style>
  <w:style w:type="numbering" w:styleId="619" w:default="1">
    <w:name w:val="No List"/>
    <w:uiPriority w:val="99"/>
    <w:semiHidden/>
    <w:unhideWhenUsed/>
  </w:style>
  <w:style w:type="paragraph" w:styleId="620">
    <w:name w:val="No Spacing"/>
    <w:basedOn w:val="617"/>
    <w:uiPriority w:val="1"/>
    <w:qFormat/>
    <w:pPr>
      <w:spacing w:after="0" w:line="240" w:lineRule="auto"/>
    </w:pPr>
  </w:style>
  <w:style w:type="paragraph" w:styleId="621">
    <w:name w:val="List Paragraph"/>
    <w:basedOn w:val="617"/>
    <w:uiPriority w:val="34"/>
    <w:qFormat/>
    <w:pPr>
      <w:contextualSpacing/>
      <w:ind w:left="720"/>
    </w:pPr>
  </w:style>
  <w:style w:type="character" w:styleId="626" w:default="1">
    <w:name w:val="Default Paragraph Font"/>
    <w:uiPriority w:val="1"/>
    <w:semiHidden/>
    <w:unhideWhenUsed/>
  </w:style>
  <w:style w:type="paragraph" w:styleId="1_634" w:customStyle="1">
    <w:name w:val="Body Text"/>
    <w:basedOn w:val="695"/>
    <w:link w:val="888"/>
    <w:pPr>
      <w:contextualSpacing w:val="0"/>
      <w:ind w:left="0" w:right="0" w:firstLine="0"/>
      <w:jc w:val="left"/>
      <w:keepLines w:val="0"/>
      <w:keepNext w:val="0"/>
      <w:pageBreakBefore w:val="0"/>
      <w:spacing w:before="0" w:beforeAutospacing="0" w:after="120" w:afterAutospacing="0" w:line="240" w:lineRule="auto"/>
      <w:shd w:val="nil" w:color="000000"/>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en-US" w:bidi="ar-SA"/>
      <w14:ligatures w14:val="none"/>
    </w:rPr>
  </w:style>
  <w:style w:type="paragraph" w:styleId="1_636" w:customStyle="1">
    <w:name w:val="Основной текст2"/>
    <w:basedOn w:val="695"/>
    <w:link w:val="906"/>
    <w:pPr>
      <w:contextualSpacing w:val="0"/>
      <w:ind w:left="0" w:right="0" w:firstLine="0"/>
      <w:jc w:val="both"/>
      <w:keepLines w:val="0"/>
      <w:keepNext w:val="0"/>
      <w:pageBreakBefore w:val="0"/>
      <w:spacing w:before="300" w:beforeAutospacing="0" w:after="0" w:afterAutospacing="0" w:line="317"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7"/>
      <w:szCs w:val="27"/>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konovalenkoan</cp:lastModifiedBy>
  <cp:revision>1</cp:revision>
  <dcterms:modified xsi:type="dcterms:W3CDTF">2025-03-26T06:49:53Z</dcterms:modified>
</cp:coreProperties>
</file>