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67"/>
        <w:spacing w:after="0" w:line="240" w:lineRule="atLeast"/>
        <w:rPr>
          <w:rFonts w:ascii="Times New Roman" w:hAnsi="Times New Roman" w:cs="Times New Roman"/>
          <w:b w:val="0"/>
          <w:bCs w:val="0"/>
          <w:spacing w:val="-5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  <w:highlight w:val="none"/>
        </w:rPr>
        <w:t xml:space="preserve">Об итогах работы ТФОМС Липецкой области за I полугодие 2023 года.</w:t>
      </w:r>
      <w:r>
        <w:rPr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  <w:highlight w:val="none"/>
        </w:rPr>
      </w:r>
    </w:p>
    <w:p>
      <w:pPr>
        <w:ind w:firstLine="567"/>
        <w:spacing w:after="0" w:afterAutospacing="0" w:line="283" w:lineRule="atLeast"/>
        <w:rPr>
          <w:rFonts w:ascii="Times New Roman" w:hAnsi="Times New Roman" w:cs="Times New Roman"/>
          <w:b w:val="0"/>
          <w:bCs w:val="0"/>
          <w:spacing w:val="-5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  <w:highlight w:val="none"/>
        </w:rPr>
      </w:r>
      <w:r>
        <w:rPr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  <w:highlight w:val="none"/>
        </w:rPr>
      </w:r>
    </w:p>
    <w:p>
      <w:pPr>
        <w:pStyle w:val="867"/>
        <w:ind w:firstLine="720"/>
        <w:jc w:val="both"/>
        <w:spacing w:after="0" w:afterAutospacing="0" w:line="283" w:lineRule="atLeast"/>
        <w:tabs>
          <w:tab w:val="left" w:pos="720" w:leader="none"/>
        </w:tabs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Всего за 6 месяцев 2023 года доходы бюджета территориального фонда ОМС сложились в размере 9 145,9 млн. рублей, что составляет 99,0% от утвержденных законом бюджетных назначений и 95,9% к доходам аналогичного периода 2022 года  (9 539,4 млн. рублей). </w:t>
      </w:r>
      <w:r>
        <w:rPr>
          <w:b w:val="0"/>
          <w:bCs w:val="0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pStyle w:val="867"/>
        <w:ind w:firstLine="720"/>
        <w:jc w:val="both"/>
        <w:spacing w:after="0" w:afterAutospacing="0" w:line="283" w:lineRule="atLeast"/>
        <w:tabs>
          <w:tab w:val="left" w:pos="720" w:leader="none"/>
        </w:tabs>
        <w:rPr>
          <w:b w:val="0"/>
          <w:bCs w:val="0"/>
          <w:spacing w:val="-5"/>
          <w:sz w:val="28"/>
          <w:szCs w:val="28"/>
          <w:highlight w:val="none"/>
        </w:rPr>
      </w:pPr>
      <w:r>
        <w:rPr>
          <w:b w:val="0"/>
          <w:bCs w:val="0"/>
          <w:spacing w:val="-5"/>
          <w:sz w:val="28"/>
          <w:szCs w:val="28"/>
          <w:highlight w:val="none"/>
        </w:rPr>
        <w:t xml:space="preserve">Снижение размера доходной части бюджета в I полугодии 2023 года обусловлено поступлением в прошлом году финансовых средств на дополнительное финансовое обеспечение оказания медицинской помощи с заболеванием и (или) подозрением на заболевание новой </w:t>
      </w:r>
      <w:r>
        <w:rPr>
          <w:b w:val="0"/>
          <w:bCs w:val="0"/>
          <w:spacing w:val="-5"/>
          <w:sz w:val="28"/>
          <w:szCs w:val="28"/>
          <w:highlight w:val="none"/>
        </w:rPr>
        <w:t xml:space="preserve">коронавирусной</w:t>
      </w:r>
      <w:r>
        <w:rPr>
          <w:b w:val="0"/>
          <w:bCs w:val="0"/>
          <w:spacing w:val="-5"/>
          <w:sz w:val="28"/>
          <w:szCs w:val="28"/>
          <w:highlight w:val="none"/>
        </w:rPr>
        <w:t xml:space="preserve"> инфекцией в первичном звене. </w:t>
      </w:r>
      <w:r>
        <w:rPr>
          <w:b w:val="0"/>
          <w:bCs w:val="0"/>
          <w:highlight w:val="none"/>
        </w:rPr>
      </w:r>
      <w:r>
        <w:rPr>
          <w:b w:val="0"/>
          <w:bCs w:val="0"/>
          <w:spacing w:val="-5"/>
          <w:sz w:val="28"/>
          <w:szCs w:val="28"/>
          <w:highlight w:val="none"/>
        </w:rPr>
      </w:r>
    </w:p>
    <w:p>
      <w:pPr>
        <w:pStyle w:val="867"/>
        <w:ind w:firstLine="720"/>
        <w:jc w:val="both"/>
        <w:spacing w:after="0" w:afterAutospacing="0" w:line="283" w:lineRule="atLeast"/>
        <w:tabs>
          <w:tab w:val="left" w:pos="720" w:leader="none"/>
        </w:tabs>
        <w:rPr>
          <w:b w:val="0"/>
          <w:bCs w:val="0"/>
          <w:highlight w:val="none"/>
        </w:rPr>
      </w:pPr>
      <w:r>
        <w:rPr>
          <w:b w:val="0"/>
          <w:bCs w:val="0"/>
          <w:spacing w:val="-5"/>
          <w:sz w:val="28"/>
          <w:szCs w:val="28"/>
          <w:highlight w:val="none"/>
        </w:rPr>
        <w:t xml:space="preserve">Кроме того, в марте 2022 года Федеральным фондом ОМС были проведены мероприятия по опережающему авансированию в целях  закупки медицинскими организациями медикаментов и медицинского оборудования в условиях </w:t>
      </w:r>
      <w:r>
        <w:rPr>
          <w:b w:val="0"/>
          <w:bCs w:val="0"/>
          <w:spacing w:val="-5"/>
          <w:sz w:val="28"/>
          <w:szCs w:val="28"/>
          <w:highlight w:val="none"/>
        </w:rPr>
        <w:t xml:space="preserve">санкционных</w:t>
      </w:r>
      <w:r>
        <w:rPr>
          <w:b w:val="0"/>
          <w:bCs w:val="0"/>
          <w:spacing w:val="-5"/>
          <w:sz w:val="28"/>
          <w:szCs w:val="28"/>
          <w:highlight w:val="none"/>
        </w:rPr>
        <w:t xml:space="preserve"> ограничительных мер по импорту товаров (услуг) – субвенция из ФФОМС поступила в увеличенном размере 3 030,6 млн. рублей</w:t>
      </w:r>
      <w:r>
        <w:rPr>
          <w:b w:val="0"/>
          <w:bCs w:val="0"/>
          <w:spacing w:val="-5"/>
          <w:sz w:val="28"/>
          <w:szCs w:val="28"/>
          <w:highlight w:val="none"/>
        </w:rPr>
        <w:t xml:space="preserve">.</w:t>
      </w:r>
      <w:r>
        <w:rPr>
          <w:b w:val="0"/>
          <w:bCs w:val="0"/>
          <w:spacing w:val="-5"/>
          <w:sz w:val="28"/>
          <w:szCs w:val="28"/>
          <w:highlight w:val="none"/>
        </w:rPr>
        <w:t xml:space="preserve"> </w:t>
      </w:r>
      <w:r>
        <w:rPr>
          <w:b w:val="0"/>
          <w:bCs w:val="0"/>
          <w:spacing w:val="-5"/>
          <w:sz w:val="28"/>
          <w:szCs w:val="28"/>
          <w:highlight w:val="none"/>
        </w:rPr>
        <w:t xml:space="preserve">в</w:t>
      </w:r>
      <w:r>
        <w:rPr>
          <w:b w:val="0"/>
          <w:bCs w:val="0"/>
          <w:spacing w:val="-5"/>
          <w:sz w:val="28"/>
          <w:szCs w:val="28"/>
          <w:highlight w:val="none"/>
        </w:rPr>
        <w:t xml:space="preserve">место утвержденного 1/12 годового объема в сумме 1 357,4 млн. рублей.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67"/>
        <w:ind w:firstLine="720"/>
        <w:jc w:val="both"/>
        <w:spacing w:after="0" w:afterAutospacing="0" w:line="283" w:lineRule="atLeast"/>
        <w:tabs>
          <w:tab w:val="left" w:pos="720" w:leader="none"/>
        </w:tabs>
        <w:rPr>
          <w:b w:val="0"/>
          <w:bCs w:val="0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В бюджет территориального фонда обязательного медицинского страхования Липецкой области за этот период поступило сре</w:t>
      </w:r>
      <w:r>
        <w:rPr>
          <w:b w:val="0"/>
          <w:bCs w:val="0"/>
          <w:sz w:val="28"/>
          <w:szCs w:val="28"/>
          <w:highlight w:val="none"/>
        </w:rPr>
        <w:t xml:space="preserve">дств в в</w:t>
      </w:r>
      <w:r>
        <w:rPr>
          <w:b w:val="0"/>
          <w:bCs w:val="0"/>
          <w:sz w:val="28"/>
          <w:szCs w:val="28"/>
          <w:highlight w:val="none"/>
        </w:rPr>
        <w:t xml:space="preserve">иде: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67"/>
        <w:ind w:firstLine="720"/>
        <w:jc w:val="both"/>
        <w:spacing w:after="0" w:afterAutospacing="0" w:line="283" w:lineRule="atLeast"/>
        <w:tabs>
          <w:tab w:val="left" w:pos="720" w:leader="none"/>
        </w:tabs>
        <w:rPr>
          <w:b w:val="0"/>
          <w:bCs w:val="0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- субвенции из Федерального фонда обязательного медицинского страхования на финансовое обеспечение организации обязательного медицинского страхования в сумме 8 947,9 млн. рублей; 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67"/>
        <w:ind w:firstLine="720"/>
        <w:jc w:val="both"/>
        <w:spacing w:after="0" w:afterAutospacing="0" w:line="283" w:lineRule="atLeast"/>
        <w:tabs>
          <w:tab w:val="left" w:pos="720" w:leader="none"/>
        </w:tabs>
        <w:rPr>
          <w:b w:val="0"/>
          <w:bCs w:val="0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- межбюджетных трансфертов, полученных из областного бюджета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страхования, в размере 56,0 млн. рублей.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В рамках выполнения территориальной программы ОМС за I полугодие 2023 года принято на оплату медицинской помощи в размере 8 597,3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млн. рублей, что составляет 108,7% к аналогичному показателю прошлого года, (7 907,3 млн. рублей) в том числе: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67"/>
        <w:ind w:firstLine="708"/>
        <w:jc w:val="both"/>
        <w:spacing w:after="0" w:afterAutospacing="0" w:line="283" w:lineRule="atLeast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- стоимость медицинской помощи в амбулаторных условиях утверждена в сумме 3 439,6  млн. рублей, фактическое выполнение составило – 3 339,1 млн.рублей или 97,1% от утвержденной и 115,7% к соответствующему показателю прошлого года (2 886,7 </w:t>
      </w:r>
      <w:r>
        <w:rPr>
          <w:b w:val="0"/>
          <w:bCs w:val="0"/>
          <w:sz w:val="28"/>
          <w:szCs w:val="28"/>
          <w:highlight w:val="none"/>
        </w:rPr>
        <w:t xml:space="preserve">млн</w:t>
      </w:r>
      <w:r>
        <w:rPr>
          <w:b w:val="0"/>
          <w:bCs w:val="0"/>
          <w:sz w:val="28"/>
          <w:szCs w:val="28"/>
          <w:highlight w:val="none"/>
        </w:rPr>
        <w:t xml:space="preserve">. р</w:t>
      </w:r>
      <w:r>
        <w:rPr>
          <w:b w:val="0"/>
          <w:bCs w:val="0"/>
          <w:sz w:val="28"/>
          <w:szCs w:val="28"/>
          <w:highlight w:val="none"/>
        </w:rPr>
        <w:t xml:space="preserve">ублей</w:t>
      </w:r>
      <w:r>
        <w:rPr>
          <w:b w:val="0"/>
          <w:bCs w:val="0"/>
          <w:sz w:val="28"/>
          <w:szCs w:val="28"/>
          <w:highlight w:val="none"/>
        </w:rPr>
        <w:t xml:space="preserve">)</w:t>
      </w:r>
      <w:r>
        <w:rPr>
          <w:b w:val="0"/>
          <w:bCs w:val="0"/>
          <w:sz w:val="28"/>
          <w:szCs w:val="28"/>
          <w:highlight w:val="none"/>
        </w:rPr>
        <w:t xml:space="preserve">;</w:t>
      </w:r>
      <w:r>
        <w:rPr>
          <w:b w:val="0"/>
          <w:bCs w:val="0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pStyle w:val="867"/>
        <w:ind w:firstLine="720"/>
        <w:jc w:val="both"/>
        <w:spacing w:after="0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- стоимость медицинской помощи в стационарных условиях утверждена в сумме 3 863,2 млн. рублей, фактическое выполнение составило 3 726,1 млн. рублей или 96,5% от утвержденной и 101,3% к аналогичному показателю прош</w:t>
      </w:r>
      <w:r>
        <w:rPr>
          <w:b w:val="0"/>
          <w:bCs w:val="0"/>
          <w:sz w:val="28"/>
          <w:szCs w:val="28"/>
          <w:highlight w:val="none"/>
        </w:rPr>
        <w:t xml:space="preserve">лого года (3 676,6 </w:t>
      </w:r>
      <w:r>
        <w:rPr>
          <w:b w:val="0"/>
          <w:bCs w:val="0"/>
          <w:sz w:val="28"/>
          <w:szCs w:val="28"/>
          <w:highlight w:val="none"/>
        </w:rPr>
        <w:t xml:space="preserve">млн</w:t>
      </w:r>
      <w:r>
        <w:rPr>
          <w:b w:val="0"/>
          <w:bCs w:val="0"/>
          <w:sz w:val="28"/>
          <w:szCs w:val="28"/>
          <w:highlight w:val="none"/>
        </w:rPr>
        <w:t xml:space="preserve">. р</w:t>
      </w:r>
      <w:r>
        <w:rPr>
          <w:b w:val="0"/>
          <w:bCs w:val="0"/>
          <w:sz w:val="28"/>
          <w:szCs w:val="28"/>
          <w:highlight w:val="none"/>
        </w:rPr>
        <w:t xml:space="preserve">уб</w:t>
      </w:r>
      <w:r>
        <w:rPr>
          <w:b w:val="0"/>
          <w:bCs w:val="0"/>
          <w:sz w:val="28"/>
          <w:szCs w:val="28"/>
          <w:highlight w:val="none"/>
        </w:rPr>
        <w:t xml:space="preserve">лей)</w:t>
      </w:r>
      <w:r>
        <w:rPr>
          <w:b w:val="0"/>
          <w:bCs w:val="0"/>
          <w:sz w:val="28"/>
          <w:szCs w:val="28"/>
          <w:highlight w:val="none"/>
        </w:rPr>
        <w:t xml:space="preserve">;</w:t>
      </w:r>
      <w:r>
        <w:rPr>
          <w:b w:val="0"/>
          <w:bCs w:val="0"/>
          <w:sz w:val="28"/>
          <w:szCs w:val="28"/>
          <w:highlight w:val="none"/>
        </w:rPr>
        <w:t xml:space="preserve"> </w:t>
      </w:r>
      <w:r>
        <w:rPr>
          <w:b w:val="0"/>
          <w:bCs w:val="0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pStyle w:val="867"/>
        <w:ind w:firstLine="720"/>
        <w:jc w:val="both"/>
        <w:spacing w:after="0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- стоимость медицинской помощи в условиях дневного стационара утверждена в сумме 996,4 млн. рублей, фактически выполнено – 979,4 млн. рублей или 98,3% от</w:t>
      </w:r>
      <w:r>
        <w:rPr>
          <w:b w:val="0"/>
          <w:bCs w:val="0"/>
          <w:sz w:val="28"/>
          <w:szCs w:val="28"/>
          <w:highlight w:val="none"/>
        </w:rPr>
        <w:t xml:space="preserve"> </w:t>
      </w:r>
      <w:r>
        <w:rPr>
          <w:b w:val="0"/>
          <w:bCs w:val="0"/>
          <w:sz w:val="28"/>
          <w:szCs w:val="28"/>
          <w:highlight w:val="none"/>
        </w:rPr>
        <w:t xml:space="preserve">утвержденной стоимости и 115,7% к соответствующему показателю 2022 года (846,3 млн. рублей)</w:t>
      </w:r>
      <w:r>
        <w:rPr>
          <w:b w:val="0"/>
          <w:bCs w:val="0"/>
          <w:sz w:val="28"/>
          <w:szCs w:val="28"/>
          <w:highlight w:val="none"/>
        </w:rPr>
        <w:t xml:space="preserve">;</w:t>
      </w:r>
      <w:r>
        <w:rPr>
          <w:b w:val="0"/>
          <w:bCs w:val="0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pStyle w:val="867"/>
        <w:ind w:firstLine="720"/>
        <w:jc w:val="both"/>
        <w:spacing w:after="0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- стоимость скорой медицинской помощи утверждена в сумме 561,0 млн. рублей, фактически выполнено – 552,7 млн. рублей или 98,5% от утвержденной и 111,1% к соответствующему показателю прошлого года (497,7 млн. рублей).</w:t>
      </w:r>
      <w:r>
        <w:rPr>
          <w:b w:val="0"/>
          <w:bCs w:val="0"/>
          <w:sz w:val="28"/>
          <w:szCs w:val="28"/>
          <w:highlight w:val="none"/>
        </w:rPr>
        <w:t xml:space="preserve"> </w:t>
      </w:r>
      <w:r>
        <w:rPr>
          <w:b w:val="0"/>
          <w:bCs w:val="0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Объемы медицинской помощи, установленные Комиссией по разработке территориальной программы ОМС, выполнены медицинскими организациями в I полугодии текущего года: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- по медицинской помощи в стационарных условиях в целом – на 104,9%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 или на 107,5% к уровню прошлого года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;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- по медицинской помощи в амбулаторных условиях в неотложной форме – на 78,4%,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или на 150,3% к уровню прошлого года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;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по обращениям по поводу заболеваний – на 88,4%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;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- по медицинской помощи, оказанной в условиях дневного стационара - на 95,1%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;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 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- по скорой медицинской помощи – на 86,7%, или на 95,5% к уровню аналогичного показателя прошлого года.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 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Стоимость специализированной медицинской помощи, оказанной пациентам со злокачественными новообразованиями (З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НО), застрах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ованных на территории Липецкой области, за I полугодие 2023 года составила 1 201,1 млн. рублей (126% от запланированной суммы – 956,5 млн. рублей), в том числе в стационарных условиях – 655,1 млн. рублей, в условиях дневного стационара – 546,0 млн. рублей.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Средняя стоимость 1 случа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я специализированного лечения пациентов с ЗНО, застрахованных и пролеченных на территории Липецкой области за отчетный период составила в целом 64,3 тыс. рублей, в стационарных условиях – 59,6 тыс. рублей, в условиях дневного стационара - 72,2 тыс. рублей.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Стоимость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химиотерапии, проведенной пациентам с ЗНО за I полугодие 2023 года составила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 767,9 млн. рублей, в том числе в стационарных условиях - 369,2 млн. рублей, в условиях дневного стационара – 398,7 млн. рублей.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В структуре объема оказанной медицинской помощи удельный вес химиотерапии составил 71% (11 818 госпитализаций), в том числе в стационарных условиях – 64% (6 710 госпитализаций), в условиях дневного стационара – 83% (5 108 госпитализаций).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В результате проведенного медико-экономического контроля по пункту дефекта 1.6.3 (предъявление к оплате медицинской помощи сверх распредел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енного объема предоставления медицинской помощи, установленного решением комиссии по разработке территориальной программы ОМС) за I полугодие 2023 года от оплаты отклонено 42 случая лечения в стационарных условиях на сумму 6,0 млн. рублей.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План диспансеризации взрослого населения на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полугодие 2023 года составил 189 093 человека. Фактически осмотрено в рамках диспансеризации – 215 330 человек или 113,9% от утвержденного пла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н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а. Предъявлено счетов к оплате за проведенную диспансеризацию в рамках 1 и 2 этапа на сумму 539,7 млн. рублей, оплачено 539,3 млн. рублей. Из 30 медицинских организаций, проводивших диспансеризацию взрослого населения, не выполнили установленный план - 3: 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ГУЗ «Липецкая городская больница № 3 «Свободный Сокол» - 97,23%;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ГУЗ «Липецкий областной клинический центр»  – 89,4%;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ГУЗ «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Краснинская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РБ» – 95,65%.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План профилактических медицинских осмотров взрослого населения на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полугодие 2023 года составил 49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 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73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7 человек. Фактически осмотрено 48 766 человек на сумму 76,4 млн. рублей, что составило 98,0% от утвержденного плана. Из 30 медицинских организаций, проводивших профилактические медицинские осмотры взрослого населения, не выполнили установленный план - 10: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ГУЗ «Липецкая городская больница № 4 «Липецк-Мед» - 75%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ГУЗ «Липецкая городская поликлиника № 4» - 99%;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ГУЗ «Липецкий областной клинический центр» – 45%;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ГУЗ «Липецкая городская больница скорой медицинской помощи № 1» – 98%;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ГУЗ «Липецкая городская поликлиника № 7» – 73%; </w:t>
      </w:r>
      <w:r>
        <w:rPr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ГУЗ «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Воловская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РБ» – 85%;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ГУЗ «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Добринская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ЦРБ» – 85%;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ГУЗ «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Краснинская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РБ» – 86%;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ГУЗ «Елецкая РБ» – 88%;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ГУЗ «Лебедянская ЦРБ» – 98%;</w:t>
      </w:r>
      <w:r>
        <w:rPr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ГУЗ «Липецкая РБ» – 99%;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ГУЗ «Тербунская ЦРБ» – 86%;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ГУЗ «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Хлевенская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РБ» – 99%;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ГУЗ «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Становлянская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РБ» – 83%.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План профилактических медицинских осмотров несовершеннолетних на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полугодие 2023 года составил 120 680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человек. Фактически осмотрено 95 863 человека на сумму 282,3 млн. рублей, что составило 79,4% от утвержденного плана. Из 23 медицинских организаций, проводивших профилактические медицинские осмотры несовершеннолетних, выполнили установленный план только 4.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75"/>
        <w:ind w:firstLine="709"/>
        <w:jc w:val="both"/>
        <w:spacing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План диспансеризации детей-сирот, усыновленных и принятых под опеку, на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полугодие 2023 года составил 776 человек. Фактически осмотрено 760 человек на сумму 3,0 млн. рублей, что составило 97,9% от утвержденного плана.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75"/>
        <w:ind w:firstLine="709"/>
        <w:jc w:val="both"/>
        <w:spacing w:line="283" w:lineRule="atLeast"/>
        <w:tabs>
          <w:tab w:val="left" w:pos="6397" w:leader="none"/>
        </w:tabs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План диспансеризации детей-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сирот, пребывающих в стационарных учреждениях на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полугодие 2023 года составил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747 человек. Фактически осмотрено 571 человек на сумму 3,1 млн. рублей, что составило 76,4% от утвержденного плана.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Число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пациентов, подлежащих диспансерному наблюдению за отчетный период составило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 100 296 человек. Прошли диспансерное наблюдение 95 505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человек или 95,2% от планового показателя. Всего оплачено реестров счетов в рамках диспансерного наблюдения за I полугодие 2023 года на сумму 131,0 млн. рублей.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За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полугодие 2023 года в медицинских организациях Липецкой области оказана медицинская помощь 16 826 иногороднему пациенту на сумму 222,7 млн. рублей. 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Согласно, предъявленным медицинскими организациями Липецкой области счетам и реестрам, иногородним пациентам оказана медицинская помощь по следующим основным профилям: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69"/>
        <w:ind w:left="0" w:firstLine="708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- акушерство и гинекология – 1 933 случая на сумму 10,8 млн. рублей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69"/>
        <w:ind w:left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- офтальмология – 7 955 случаев на сумму 82,0 млн. рублей;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69"/>
        <w:ind w:left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- онкология - 533 случая на сумму 13,6 млн. рублей (в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т.ч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. химиотерапия - 126 случаев на сумму 9,0 млн. рублей);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69"/>
        <w:ind w:left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- кардиология - 609 случаев на сумму 10,2 млн. рублей;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69"/>
        <w:ind w:left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- нефрология – 1 142 случая на сумму 9,0 млн. рублей;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69"/>
        <w:ind w:left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- неврология – 1 251 случаев на сумму 9,0 млн. рублей;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69"/>
        <w:ind w:left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- травматология и ортопедия – 1 311случаев на сумму 7,0 млн. рублей.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67"/>
        <w:ind w:firstLine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За </w:t>
      </w:r>
      <w:r>
        <w:rPr>
          <w:b w:val="0"/>
          <w:bCs w:val="0"/>
          <w:sz w:val="28"/>
          <w:szCs w:val="28"/>
          <w:highlight w:val="none"/>
          <w:lang w:val="en-US"/>
        </w:rPr>
        <w:t xml:space="preserve">I</w:t>
      </w:r>
      <w:r>
        <w:rPr>
          <w:b w:val="0"/>
          <w:bCs w:val="0"/>
          <w:sz w:val="28"/>
          <w:szCs w:val="28"/>
          <w:highlight w:val="none"/>
        </w:rPr>
        <w:t xml:space="preserve"> полугодие 2023 года в</w:t>
      </w:r>
      <w:r>
        <w:rPr>
          <w:b w:val="0"/>
          <w:bCs w:val="0"/>
          <w:sz w:val="28"/>
          <w:szCs w:val="28"/>
          <w:highlight w:val="none"/>
        </w:rPr>
        <w:t xml:space="preserve"> медицинских организациях других субъектов Российской Федерации оказана медицинская помощь 14 960 пациентам, застрахованным на территории Липецкой области на сумму 411,4 млн. рублей, в том числе по высокотехнологичной медицинской помощи – 62,9 млн. рублей.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Согласно предъявленным территориальными фондами ОМС других субъектов Российской Федерации счетам и реестрам, лицам, застрахованным на территории Липецкой области, медицинская помощь была оказана по следующим основным профилям: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69"/>
        <w:ind w:left="0" w:firstLine="708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- акушерство и гинекология – 1 594 случая на сумму 13,7 млн. рублей (в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т.ч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. ЭКО - 21 случай на сумму 2,5 млн. рублей);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69"/>
        <w:ind w:left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- офтальмология – 2 777 случаев на сумму 15,7 млн. рублей;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69"/>
        <w:ind w:left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- онкология –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4 042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случая на сумму 168,2 млн. рублей (в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т.ч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. - 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69"/>
        <w:ind w:left="0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химиотерапия - 448 случаев на сумму 111,7 млн. рублей);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69"/>
        <w:ind w:left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- кардиология - 763 случая на сумму 10,2 млн. рублей;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69"/>
        <w:ind w:left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- инфекционные болезни - 393 случая на сумму 8,7 млн. рублей;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69"/>
        <w:ind w:left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- неврология - 949 случаев на сумму 11,2 млн. рублей;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69"/>
        <w:ind w:left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- 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сердечно-сосудистая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хирургия - 386 случаев на сумму 29,0 млн. рублей;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69"/>
        <w:ind w:left="709"/>
        <w:jc w:val="both"/>
        <w:spacing w:after="0" w:line="283" w:lineRule="atLeast"/>
        <w:rPr>
          <w:rFonts w:ascii="Times New Roman" w:hAnsi="Times New Roman" w:cs="Times New Roman"/>
          <w:b w:val="0"/>
          <w:bCs w:val="0"/>
          <w:color w:val="ff000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- травматология и ортопедия – 1 588 случаев на сумму 57,9 млн. рублей.</w:t>
      </w:r>
      <w:r>
        <w:rPr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color w:val="ff000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Расходы медицинских организаций в 1 полугодии 2023 года составили 8 168,2 млн. рублей, что выше показателя прошлого года на 4,7% или на 363,7 млн. рублей. (7 804,5 млн. рублей), в том числе: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 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- на оплату труда с начислениями – 5 475,3 млн. рублей, что составляет 114,5% от уровня прошлого года (4 783,4  млн. рублей);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- оплата за медикаменты – 1 474,6 млн. рублей или ниже на 22,3% к уровню прошлого года (1 896,6 млн. рублей);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 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- оплата за продукты питания – 105,0 млн. рублей, что выше показателя прошлого года на 2,8% (102,1 млн. рублей);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 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- приобретение основных средств – 42,1 млн. рублей, что выше уровня  прошлого года на 12,0% (37,6 млн. рублей);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 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- расходы на оплату арендной платы за пользованием имуществом – 179,7 млн. рублей, что на 32,2% выше, чем в прошлом периоде (135,9 млн. рублей);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- оплата коммунальных услуг – 305,9 млн. рублей, что выше уровня прошлого года почти на 13,6% (269,3 млн. рублей).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 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Таким образом, наибольшую долю в структуре расходов занимают расходы на заработную плату с начислениями – 67,0%, при этом темпы роста в сравнении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с предыдущим периодом расходов на приобретение основных средств (12,0%), а также расходы на арендную плату за пользование имуществом (рост - 32,2%) превышают темпы роста по другим статьям расходов, в том числе и расходов на заработную плату с начислениями.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Средняя заработная плата работников государственных медицинских организаций Липецкой области в системе ОМС за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полугодие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2023 года составила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40,21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тыс. рублей, что на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13,3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% выше аналогичного показателя прошлого года (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35,49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тыс. рублей) в том числе: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- по амбулаторно-поликлиническому звену средняя зарплата медицинских работников по сравнению с аналогичным периодом прошлого года возросла на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18,6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% и составила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42,86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тыс. рублей (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полугодие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2022 года –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37,08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тыс. рублей);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- в стационарном звене рост средней зарплаты медицинских работников составил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14,4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% - 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53,03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тыс. рублей (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полугодие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2022 года – 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46,34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тыс. рублей); 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- в подразделениях скорой помощи средняя зарплата медицинских работников из средств ОМС составила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46,45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тыс. рублей, рост 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–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 21,0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% (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полугодие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2022 года – 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38,44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тыс. рублей).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В отчетном периоде 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средняя заработная плата по категориям персонала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по сравнению с аналогичным периодом прошлого года сложилась следующим образом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: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- по врачебным кадрам средняя зарплата увеличилась на 12,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4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% и составила 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74,70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 рублей (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66,46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 рублей за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полугодие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2022 года)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- по среднему медперсоналу рост средней зарплаты составил 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15,4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 % - 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40,15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тыс. 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рублей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(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34,79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 рублей за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полугодие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2022 года)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- по младшему медицинскому персоналу средняя зарплата увеличилась на 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15,4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% и составила 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37,16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 рублей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(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32,20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 рублей за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полугодие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2022 года)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- по прочему персоналу рост средней зарплаты составил 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9,2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% - 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24,59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тыс. 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рублей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(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22,50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тыс.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 рублей за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полугодие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2022 года)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- по АУП средняя зарплата увеличилась на 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5,5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 % и составила 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61,92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 рублей (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58,65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 рублей за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полугодие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2022 года)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Во исполнение пункта 7.1 части 2 статьи 20 Федерального закона № 326-Ф3 «Об обязательном медицинском страховании», Правил использования средств нормир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о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ванного страхового запаса, утвержден План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на сумму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16 153,0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тыс. рублей, в том числе на дополнительно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е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профессионально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е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образования медицинских работников – 1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 1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8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8,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3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тыс. рублей, на приобретение медицинского оборудования – 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10 069,6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тыс. руб., проведение ремонта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медицинского оборудования – 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4 895,1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тыс. рублей. Подписаны соглашения с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28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медицинскими органи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зациями Липецкой области о 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оборудования.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В соответствии с планом мероприятий, в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полугодии в медицинские организации было перечисл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ено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5 754,4 тыс. рублей, в том числе на дополнительное профессиональное образования медицинских работников – 526,9 тыс. рублей, на приобретение медицинского оборудования – 1 261,4 тыс. рублей, проведение ремонта медицинского оборудования – 3 966,1 тыс. рублей.</w:t>
      </w:r>
      <w:r>
        <w:rPr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8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На основании распоряжения Правительства Российской Федерации от 08.12.2022 № 3798-р ТФОМС Липецкой области в целях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софинансирования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расходов медицинских организаций на оплату труда врачей и среднего медицинского персонала предусмотрено на 2023 год денежных сре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дств в с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умме 34 608,9 тыс. рублей. В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полугодии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2023 года на данные цели направлено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8 026,9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тыс. рублей.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firstLine="708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Для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софинансирования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расходов медицинских организаций на оплату труда врачей и среднего медицинского персонала было заключено 33 трехсторонних соглашения между ТФОМС Липецкой области, управлением здравоохранения Липецкой области и медицинскими организациями.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firstLine="708"/>
        <w:jc w:val="both"/>
        <w:spacing w:after="0" w:line="283" w:lineRule="atLeast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В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полугодии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2023 года заявки на оплату труда врачей и среднего медицинского персонала из средств нормированного страхового запаса для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софинансирования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расходов медицинских организаций ежемесячно поступали от 33 медицинских организаций, из них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20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медицинских организаций показали прирост численности медицинских работников на общую сумму заработной платы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8 026,9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тыс. рублей. (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48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врач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ей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и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22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средних медицинских работник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а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). 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В соответствии с Федеральным законом от 29.11.2010 № 326-ФЗ «Об обязательном медицинском страховании в Российской Федерации» и действующими нормативными документами в обл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асти обязательного медицинского страхования, ТФОМС Липецкой области осуществляет контроль использования финансовых средств обязательного медицинского страхования медицинскими организациями и страховыми медицинскими организациями путем проведения проверок. 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Calibri" w:hAnsi="Calibri" w:eastAsia="Calibri" w:cs="Times New Roman"/>
          <w:b w:val="0"/>
          <w:bCs w:val="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Основанием для проведения проверки являлся приказ директора ТФОМС Липецкой области, который определял тему проверки, проверяемый период, руководителя комиссии, состав комиссии, сроки проведения проверки, форму проверки.</w:t>
      </w:r>
      <w:r>
        <w:rPr>
          <w:b w:val="0"/>
          <w:bCs w:val="0"/>
          <w:highlight w:val="none"/>
        </w:rPr>
      </w:r>
      <w:r>
        <w:rPr>
          <w:rFonts w:ascii="Calibri" w:hAnsi="Calibri" w:eastAsia="Calibri" w:cs="Times New Roman"/>
          <w:b w:val="0"/>
          <w:bCs w:val="0"/>
          <w:highlight w:val="none"/>
        </w:rPr>
      </w:r>
    </w:p>
    <w:p>
      <w:pPr>
        <w:ind w:firstLine="720"/>
        <w:jc w:val="both"/>
        <w:spacing w:after="0" w:line="283" w:lineRule="atLeast"/>
        <w:rPr>
          <w:rFonts w:ascii="Calibri" w:hAnsi="Calibri" w:eastAsia="Calibri" w:cs="Times New Roman"/>
          <w:b w:val="0"/>
          <w:bCs w:val="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В план проверок на I полугодие 2023 года включены 23 медицинские организаций и 2 страховые медицинские организации. </w:t>
      </w:r>
      <w:r>
        <w:rPr>
          <w:b w:val="0"/>
          <w:bCs w:val="0"/>
          <w:highlight w:val="none"/>
        </w:rPr>
      </w:r>
      <w:r>
        <w:rPr>
          <w:rFonts w:ascii="Calibri" w:hAnsi="Calibri" w:eastAsia="Calibri" w:cs="Times New Roman"/>
          <w:b w:val="0"/>
          <w:bCs w:val="0"/>
          <w:highlight w:val="none"/>
        </w:rPr>
      </w:r>
    </w:p>
    <w:p>
      <w:pPr>
        <w:ind w:firstLine="540"/>
        <w:jc w:val="both"/>
        <w:spacing w:after="0" w:line="283" w:lineRule="atLeast"/>
        <w:rPr>
          <w:rFonts w:ascii="Calibri" w:hAnsi="Calibri" w:eastAsia="Calibri" w:cs="Times New Roman"/>
          <w:b w:val="0"/>
          <w:bCs w:val="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За I полугодие 2023 года проведены 33 проверки, в том числе: в медицинских организациях - 23 плановые проверки; в страховых медицинских организациях - 2 плановые комплексные проверки, 8 внеплановые проверки. </w:t>
      </w:r>
      <w:r>
        <w:rPr>
          <w:b w:val="0"/>
          <w:bCs w:val="0"/>
          <w:highlight w:val="none"/>
        </w:rPr>
      </w:r>
      <w:r>
        <w:rPr>
          <w:rFonts w:ascii="Calibri" w:hAnsi="Calibri" w:eastAsia="Calibri" w:cs="Times New Roman"/>
          <w:b w:val="0"/>
          <w:bCs w:val="0"/>
          <w:highlight w:val="none"/>
        </w:rPr>
      </w:r>
    </w:p>
    <w:p>
      <w:pPr>
        <w:jc w:val="both"/>
        <w:spacing w:after="0" w:line="283" w:lineRule="atLeast"/>
        <w:tabs>
          <w:tab w:val="left" w:pos="709" w:leader="none"/>
        </w:tabs>
        <w:rPr>
          <w:rFonts w:ascii="Calibri" w:hAnsi="Calibri" w:eastAsia="Calibri" w:cs="Times New Roman"/>
          <w:b w:val="0"/>
          <w:bCs w:val="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Остаток не восстановленных средств ОМС по состоянию на 01.01.2023 составил 1 456,0 тыс. рублей. </w:t>
      </w:r>
      <w:r>
        <w:rPr>
          <w:b w:val="0"/>
          <w:bCs w:val="0"/>
          <w:highlight w:val="none"/>
        </w:rPr>
      </w:r>
      <w:r>
        <w:rPr>
          <w:rFonts w:ascii="Calibri" w:hAnsi="Calibri" w:eastAsia="Calibri" w:cs="Times New Roman"/>
          <w:b w:val="0"/>
          <w:bCs w:val="0"/>
          <w:highlight w:val="none"/>
        </w:rPr>
      </w:r>
    </w:p>
    <w:p>
      <w:pPr>
        <w:ind w:firstLine="708"/>
        <w:jc w:val="both"/>
        <w:spacing w:after="0"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По итогам проверок за I полугодие 2023 год в медицинских организациях выявлено нецелевое использование средств обязательного медицинского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страхования на сумму 1 338,2 тыс. рублей (1 полугодие 2022 года – 784,6 тыс. рублей), а именно: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«Оплата видов медицинской помощи, не включенных в территориальную программу ОМС» - 198,0 тыс. рублей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 или 14,8% от выявленной суммы нецелевого использования средств ОМС: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- 107,9 тыс. рублей -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обучение по темам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 не связанным с оказанием медицинской помощи в рамках территориальной программы ОМС 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- 79,9 тыс. рублей – поверка анализаторов алкоголя; 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- 10,2 тыс. рублей – приобретение реактивов для медицинского освидетельствования на состояние наркотического опьянения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«Оплата расходов, не включенных в тарифы на оплату медицинской помощи в рамках территориальной программы ОМС» - 853,9 тыс. рублей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 или 63,8 % от выявленной суммы нецелевого использования средств ОМС: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2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- 15,0 тыс. рублей – работы по проведению капитального ремонта зданий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;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2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- 48,7 тыс. рублей - оплата расходов других регионов; 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- 67,0 тыс. рублей - проведение обследования строительных конструкций помещений, в которых планируется размещение тяжелого оборудования;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-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290,7 тыс. рублей – выплата материальной помощи работникам медицинской организации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;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- 20,6 тыс. рублей - оплата материальных запасов и услуг, не связанных с оказанием медицинской помощи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;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- 411,9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тыс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. 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ублей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- приобретение оборудования стоимостью свыше 100,0 тыс. рублей за единицу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«Финансирование структурных подразделений (служб) медицинских организаций, финансируемых из иных источников» -- 45,5 тыс. рублей,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или 3,4% от выявленной суммы нецелевого использования средств ОМС,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в том числе: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- 33,8 тыс. рублей – расходы на приобретение оборудования для оказания медицинской помощи на платной основе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;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- 11,7 тыс. рублей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 –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выплата премии за оказание медицинской помощи на платной основе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2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«Расходование сре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дств пр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и отсутствии подтверждающих документов» - 240,8 тыс. рублей.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или 18% от выявленной суммы нецелевого использования средств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 ОМС: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- 233,5 тыс. рублей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 - выплата заработной платы, с учетом начислений, при отсутствии сертификата специалиста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- 7,3 тыс. рублей – списаны средства со счета без подтверждающих документов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 w:firstLine="0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Возвращено в бюджет ТФОМС Липецкой области 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соответствии с требованиями Федерального закона от 29.11.2010 № 326-ФЗ «Об обязательном медицинском страховании в Российской Федерации» - 1 524,2 тыс. рублей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 w:firstLine="0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По состоянию на 01.07.2023 остаток невосстановленных медицинскими организациями средств ОМС составляет 1 270,0 тыс. рублей.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 w:firstLine="0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Сумма предъявленных штрафов, пеней по результатам проверок деятельности страховых медицинских организаций и медицинских организаций 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сфере обязательного медицинского страхования 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en-US" w:eastAsia="ru-RU"/>
        </w:rPr>
        <w:t xml:space="preserve">I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 полугодии 2023 составила 298,8 тыс. рублей, в том числе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по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: 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 w:firstLine="54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- медицинским организациям – 265,8 тыс. рублей, 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 w:firstLine="54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- страховым медицинским организациям – 33,0 тыс. рублей. 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 w:right="0" w:firstLine="993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Остаток задолженности по штрафам по результатам проверок по состоянию  на 01.01.2023 года составлял 1 227,8 тыс. рублей. 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 w:firstLine="54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Получено в отчетном периоде  штрафов, пеней по результатам проверок 327,7 тыс. рублей: 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 w:firstLine="54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- медицинским организациям – 294,7 тыс. рублей, 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 w:firstLine="54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- страховым медицинским организациям – 33,0 тыс. рублей.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 w:firstLine="54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По состоянию на 01.07.2023 года задолженность по штрафам и пени - 1 198,9 тыс. рублей (медицинские организации – 1 089,4 тыс. рублей, страховые медицинские организации – 109,5 тыс. руб.). Задолженность образовалась по итогам проверок 2022 года.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Calibri" w:hAnsi="Calibri" w:eastAsia="Calibri" w:cs="Times New Roman"/>
          <w:b w:val="0"/>
          <w:bCs w:val="0"/>
          <w:highlight w:val="none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Отсутствие внутреннего контроля объемов, сроков, качества и условий предоставления медицинской помощи влияет на образование финансовых потерь в медицинских организациях.</w:t>
      </w:r>
      <w:r>
        <w:rPr>
          <w:b w:val="0"/>
          <w:bCs w:val="0"/>
          <w:highlight w:val="none"/>
        </w:rPr>
      </w:r>
      <w:r>
        <w:rPr>
          <w:rFonts w:ascii="Calibri" w:hAnsi="Calibri" w:eastAsia="Calibri" w:cs="Times New Roman"/>
          <w:b w:val="0"/>
          <w:bCs w:val="0"/>
          <w:highlight w:val="none"/>
        </w:rPr>
      </w:r>
    </w:p>
    <w:p>
      <w:pPr>
        <w:contextualSpacing/>
        <w:ind w:firstLine="709"/>
        <w:jc w:val="both"/>
        <w:spacing w:after="0" w:line="283" w:lineRule="atLeast"/>
        <w:rPr>
          <w:rFonts w:ascii="Calibri" w:hAnsi="Calibri" w:eastAsia="Calibri" w:cs="Times New Roman"/>
          <w:b w:val="0"/>
          <w:bCs w:val="0"/>
          <w:highlight w:val="none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По результатам проведенных в 1 полугодии проверок медицинских организаций финансовые потери в результате частичной или полной неоплаты медицинской помощи составили 76 463,57 тыс. рублей.</w:t>
      </w:r>
      <w:r>
        <w:rPr>
          <w:b w:val="0"/>
          <w:bCs w:val="0"/>
          <w:highlight w:val="none"/>
        </w:rPr>
      </w:r>
      <w:r>
        <w:rPr>
          <w:rFonts w:ascii="Calibri" w:hAnsi="Calibri" w:eastAsia="Calibri" w:cs="Times New Roman"/>
          <w:b w:val="0"/>
          <w:bCs w:val="0"/>
          <w:highlight w:val="none"/>
        </w:rPr>
      </w:r>
    </w:p>
    <w:p>
      <w:pPr>
        <w:contextualSpacing/>
        <w:ind w:firstLine="709"/>
        <w:jc w:val="both"/>
        <w:spacing w:after="0" w:line="283" w:lineRule="atLeast"/>
        <w:rPr>
          <w:rFonts w:ascii="Calibri" w:hAnsi="Calibri" w:eastAsia="Calibri" w:cs="Times New Roman"/>
          <w:b w:val="0"/>
          <w:bCs w:val="0"/>
          <w:highlight w:val="none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В ходе контрольных мероприятий в 1 полугодии 2023 года были установлены нарушения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риведшие к неэффективному использованию средств ОМС на сумму 15 691,2 тыс. рублей:</w:t>
      </w:r>
      <w:r>
        <w:rPr>
          <w:b w:val="0"/>
          <w:bCs w:val="0"/>
          <w:highlight w:val="none"/>
        </w:rPr>
      </w:r>
      <w:r>
        <w:rPr>
          <w:rFonts w:ascii="Calibri" w:hAnsi="Calibri" w:eastAsia="Calibri" w:cs="Times New Roman"/>
          <w:b w:val="0"/>
          <w:bCs w:val="0"/>
          <w:highlight w:val="none"/>
        </w:rPr>
      </w:r>
    </w:p>
    <w:p>
      <w:pPr>
        <w:ind w:firstLine="992"/>
        <w:jc w:val="both"/>
        <w:spacing w:after="0" w:line="283" w:lineRule="atLeast"/>
        <w:tabs>
          <w:tab w:val="left" w:pos="426" w:leader="none"/>
        </w:tabs>
        <w:rPr>
          <w:rFonts w:ascii="Calibri" w:hAnsi="Calibri" w:eastAsia="Calibri" w:cs="Times New Roman"/>
          <w:b w:val="0"/>
          <w:bCs w:val="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- в виде оплаты штрафных санкций по предписаниям страховых медицинских организаций по результатам медико-экономического контроля, медико-экономической экспертизы, экспертизы качества медицинской помощи – 15 323,1 тыс. рублей;</w:t>
      </w:r>
      <w:r>
        <w:rPr>
          <w:b w:val="0"/>
          <w:bCs w:val="0"/>
          <w:highlight w:val="none"/>
        </w:rPr>
      </w:r>
      <w:r>
        <w:rPr>
          <w:rFonts w:ascii="Calibri" w:hAnsi="Calibri" w:eastAsia="Calibri" w:cs="Times New Roman"/>
          <w:b w:val="0"/>
          <w:bCs w:val="0"/>
          <w:highlight w:val="none"/>
        </w:rPr>
      </w:r>
    </w:p>
    <w:p>
      <w:pPr>
        <w:ind w:firstLine="709"/>
        <w:jc w:val="both"/>
        <w:spacing w:after="0" w:line="283" w:lineRule="atLeast"/>
        <w:tabs>
          <w:tab w:val="left" w:pos="426" w:leader="none"/>
        </w:tabs>
        <w:rPr>
          <w:rFonts w:ascii="Calibri" w:hAnsi="Calibri" w:eastAsia="Calibri" w:cs="Times New Roman"/>
          <w:b w:val="0"/>
          <w:bCs w:val="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- лекарственные средства с истекшим сроком годности, находящиеся в карантинной зоне или переданные на уничтожение – 368,1тыс. рублей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.</w:t>
      </w:r>
      <w:r>
        <w:rPr>
          <w:b w:val="0"/>
          <w:bCs w:val="0"/>
          <w:highlight w:val="none"/>
        </w:rPr>
      </w:r>
      <w:r>
        <w:rPr>
          <w:rFonts w:ascii="Calibri" w:hAnsi="Calibri" w:eastAsia="Calibri" w:cs="Times New Roman"/>
          <w:b w:val="0"/>
          <w:bCs w:val="0"/>
          <w:highlight w:val="none"/>
        </w:rPr>
      </w:r>
    </w:p>
    <w:p>
      <w:pPr>
        <w:ind w:firstLine="708"/>
        <w:jc w:val="both"/>
        <w:spacing w:after="0" w:line="283" w:lineRule="atLeast"/>
        <w:rPr>
          <w:rFonts w:ascii="Calibri" w:hAnsi="Calibri" w:eastAsia="Calibri" w:cs="Times New Roman"/>
          <w:b w:val="0"/>
          <w:bCs w:val="0"/>
          <w:highlight w:val="none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С целью исключения случаев неэффективного использования  денежных средств ОМС административно-управленческому составу медицинских организаций необходимо:</w:t>
      </w:r>
      <w:r>
        <w:rPr>
          <w:b w:val="0"/>
          <w:bCs w:val="0"/>
          <w:highlight w:val="none"/>
        </w:rPr>
      </w:r>
      <w:r>
        <w:rPr>
          <w:rFonts w:ascii="Calibri" w:hAnsi="Calibri" w:eastAsia="Calibri" w:cs="Times New Roman"/>
          <w:b w:val="0"/>
          <w:bCs w:val="0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Calibri" w:hAnsi="Calibri" w:eastAsia="Calibri" w:cs="Times New Roman"/>
          <w:b w:val="0"/>
          <w:bCs w:val="0"/>
          <w:highlight w:val="none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- в целях недопущения штрафных санкций по предписаниям страховых медицинских организаций усилить внутренний контроль объемов, сроков, качества и условий предоставления медицинской помощи;</w:t>
      </w:r>
      <w:r>
        <w:rPr>
          <w:b w:val="0"/>
          <w:bCs w:val="0"/>
          <w:highlight w:val="none"/>
        </w:rPr>
      </w:r>
      <w:r>
        <w:rPr>
          <w:rFonts w:ascii="Calibri" w:hAnsi="Calibri" w:eastAsia="Calibri" w:cs="Times New Roman"/>
          <w:b w:val="0"/>
          <w:bCs w:val="0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Calibri" w:hAnsi="Calibri" w:eastAsia="Calibri" w:cs="Times New Roman"/>
          <w:b w:val="0"/>
          <w:bCs w:val="0"/>
          <w:highlight w:val="none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- контролировать качество формирования заявок на медикаменты, химические реактивы и расходные материалы;</w:t>
      </w:r>
      <w:r>
        <w:rPr>
          <w:b w:val="0"/>
          <w:bCs w:val="0"/>
          <w:highlight w:val="none"/>
        </w:rPr>
      </w:r>
      <w:r>
        <w:rPr>
          <w:rFonts w:ascii="Calibri" w:hAnsi="Calibri" w:eastAsia="Calibri" w:cs="Times New Roman"/>
          <w:b w:val="0"/>
          <w:bCs w:val="0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Calibri" w:hAnsi="Calibri" w:eastAsia="Calibri" w:cs="Times New Roman"/>
          <w:b w:val="0"/>
          <w:bCs w:val="0"/>
          <w:highlight w:val="none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- осуществлять в постоянном реж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име контроль учета медикаментов, химических реактивов и расходных материалов и использовать эти данные для формирования рациональных запасов медикаментов, а также своевременно принимать меры по реализации лекарственных средств с истекающим сроком годности.</w:t>
      </w:r>
      <w:r>
        <w:rPr>
          <w:b w:val="0"/>
          <w:bCs w:val="0"/>
          <w:highlight w:val="none"/>
        </w:rPr>
      </w:r>
      <w:r>
        <w:rPr>
          <w:rFonts w:ascii="Calibri" w:hAnsi="Calibri" w:eastAsia="Calibri" w:cs="Times New Roman"/>
          <w:b w:val="0"/>
          <w:bCs w:val="0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Calibri" w:hAnsi="Calibri" w:eastAsia="Calibri" w:cs="Times New Roman"/>
          <w:b w:val="0"/>
          <w:bCs w:val="0"/>
          <w:highlight w:val="none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Выявленные при проверках нарушения приводят к временному отвлечению средств обязательного медицинского страхования, снижению финансовой устойчивости и образованию кредиторской задолженности в медицинских организациях.</w:t>
      </w:r>
      <w:r>
        <w:rPr>
          <w:b w:val="0"/>
          <w:bCs w:val="0"/>
          <w:highlight w:val="none"/>
        </w:rPr>
      </w:r>
      <w:r>
        <w:rPr>
          <w:rFonts w:ascii="Calibri" w:hAnsi="Calibri" w:eastAsia="Calibri" w:cs="Times New Roman"/>
          <w:b w:val="0"/>
          <w:bCs w:val="0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Calibri" w:hAnsi="Calibri" w:eastAsia="Calibri" w:cs="Times New Roman"/>
          <w:b w:val="0"/>
          <w:bCs w:val="0"/>
          <w:highlight w:val="none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  <w:highlight w:val="none"/>
        </w:rPr>
        <w:t xml:space="preserve">Исключение в медицинских организациях фактов нецелевого и неэффективного использования средств ОМС является дополнительным источником для своевременных расчетов с поставщиками за материальные ценности, и как следствие - снижению кредиторской задолженности.</w:t>
      </w:r>
      <w:r>
        <w:rPr>
          <w:b w:val="0"/>
          <w:bCs w:val="0"/>
          <w:highlight w:val="none"/>
        </w:rPr>
      </w:r>
      <w:r>
        <w:rPr>
          <w:rFonts w:ascii="Calibri" w:hAnsi="Calibri" w:eastAsia="Calibri" w:cs="Times New Roman"/>
          <w:b w:val="0"/>
          <w:bCs w:val="0"/>
          <w:highlight w:val="none"/>
        </w:rPr>
      </w:r>
    </w:p>
    <w:p>
      <w:pPr>
        <w:ind w:firstLine="709"/>
        <w:jc w:val="both"/>
        <w:spacing w:after="0" w:line="283" w:lineRule="atLeast"/>
        <w:shd w:val="clear" w:color="auto" w:fill="ffffff"/>
        <w:rPr>
          <w:rFonts w:ascii="Times New Roman" w:hAnsi="Times New Roman" w:eastAsia="Times New Roman" w:cs="Times New Roman"/>
          <w:b w:val="0"/>
          <w:bCs w:val="0"/>
          <w:color w:val="ff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В целях недопущения неэффективного и нецелевого использования средств обязательного медицинского страхования по итогам проверок медицинским организациям рекомендовано осуществлять внутренний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контроль за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 соблюдением финансово-хозяйственной деятельности в соответствии с требованиями, установленными законодательством Российской Федерации.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ff0000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Просроченная кредиторская задолженность государственных медицинских организаций перед поставщиками за поставленные материальные ценности и оказанные услуги в течение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полугодия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увеличилась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в 3,2 раза,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на 01.0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7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.2023 составила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106 711,5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тыс. рублей, на 01.01.2023 она составляла 33 741,1 тыс. рублей.</w:t>
      </w:r>
      <w:r>
        <w:rPr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В ра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мках контроля объемов, сроков, качества и условий оказания медицинской помощи, оказанной медицинскими организациями Липецкой области, специалистами СМО в отчетном периоде проводились экспертные мероприятия в соответствии с действующими нормативными актами.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За период январь-июнь 2023 года подвергнуто экспертизам 110,7 тыс. страховых случаев медицинской помощи, оказанных гражданам, застрахованным на территории Липецкой области, в том числе в ходе плановых проверок 17,6 тыс.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При проведении медико-экономических экспертиз (МЭЭ) за январь-июнь 2023 года было проанализировано 95,2 тыс. случаев оказания медицинской помощи, в том числе при целевых проверках 82,4 тыс. случаев. 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В результате МЭЭ были установлены 13,8 тыс. нарушений (15%), отмечается увеличение количества дефектов в сравнении с аналогичным периодом 2022 года, когда данный показатель составлял 8%. 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Количество нарушений по причине «непредставление первичной медицинской документации, подтверждающей факт оказания ЗЛ медицинской помощи», составило – 6 023 или 46% от общего количества нарушений.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Количество нарушений по причине «несоответствие данных первичной медицинской документации данным реестра счетов», составило – 2 656 или 20% от общего количества нарушений.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Количество нарушений по причине «отсутствие в документации информированного добровольного согласия застрахованного лица на медицинское вмешательство», составило – 4 544 или 35% от общего количества нарушений (за 1 квартал было 25%).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В ходе экспертиз  качества медицинской помощи (ЭКМП)  было проанализировано  15,5 тыс. случаев оказания медицинской помощи, в том числе при целевых проверках – 10,8 тыс. случаев.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В результате ЭКМП были установлены 4,7 тыс. нарушений (30%),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отме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чается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 увеличение в сравнении с аналогичным периодом 2022 года, когда данный показатель составлял 24%.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По итогам МЭЭ и ЭКМП к медицинским организациям применены финансовые санкции в размере 112,1 млн. рублей (2022 год – 45,8 млн. рублей).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В I полугодии 2023 года проведено 79 965 контрольно-экспертных мероприятия по случаям оказания медицинской помощи пациентам с подозрением на злокачественные новообразования (ЗНО) и/или с подтвержденным диагнозом ЗНО, в том числе 75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70 медико-экономического контроля, 3 860 медико-экономических экспертиз, 435 экспертиз качества медицинской помощи. По результатам контрольно-экспертных мероприятий выявлено 7 895 дефектов, в том числе 2 107 по страховым случаям с применением химиотерапии.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За период январь-июнь 2023 года специалистами ТФОМС Липецкой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об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ласти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 и экспертами качества медицинской помощи, входящими в реестр экспертов качества медицинской помощи, привлекаемыми на договорной основе, проводились повторные медико-экономические экспертизы и  экспертизы качества медицинской помощи.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Количество страховых случаев, подвергшихся повторной МЭЭ, составило 1 707, количество страховых случаев, подвергшихся повторной ЭКМП, составило 894, ч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о соответствует требованиям приказа ФФОМС от 19.03.2021 № 231н «Об утверждении Порядка проведения контроля объемов, сроков, качества и условий предоставления медицинской помощи по обязательному медицинскому страхованию, а также ее финансового обеспечения».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Установлены нарушения в 64 случаях (2,5%), допущенн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ые медицинскими организациями, но не выявленные СМО при первичном проведении экспертиз.  По итогам  повторных экспертиз к СМО применены штрафные санкций в размере 20 715,39 рублей - 10% от суммы, необоснованно оплаченной медицинским организациям.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За январь-июнь 2023 года ТФОМС и СМО было рассмотрено 55 175 обращений. В сравнении с аналогичным периодом 2022 года количество обращений увеличилось на 8,7 тыс.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Всего 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бращений за разъяснениями, в том числе заявлений, 55 069, наибольшее количество по вопросам выбора и/или замены СМО, включение в единый регистр застрахованных, обеспечение выдачи полисов, о выдаче дубликата полиса ОМС - 48 523 или 88% от общего количества.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За период январь-июнь 2023 года поступило 106 жалоб или 0,2% от общего числа обращений; в 2022 году данный показатель 77 (0,2%).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Все жалобы рассмотрены в досудебном порядке, в установленные законом сроки, обоснованными признано 71 (67%), за аналогичный период  2022 года  47 жалоб (61%) были признаны обоснованными.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Структура обоснованных жалоб по причинам сложилась следующим образом: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jc w:val="both"/>
        <w:spacing w:after="0" w:line="240" w:lineRule="auto"/>
        <w:widowControl w:val="off"/>
        <w:tabs>
          <w:tab w:val="left" w:pos="195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-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18 жалоб (25%) на организацию работы медицинских организаций;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jc w:val="both"/>
        <w:spacing w:after="0" w:line="240" w:lineRule="auto"/>
        <w:widowControl w:val="off"/>
        <w:tabs>
          <w:tab w:val="left" w:pos="195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-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36 жалоб (51%) на качество медицинской помощи;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jc w:val="both"/>
        <w:spacing w:after="0" w:line="240" w:lineRule="auto"/>
        <w:widowControl w:val="off"/>
        <w:tabs>
          <w:tab w:val="left" w:pos="195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-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4 жалобы (6%) на отказ в оказании медицинской помощи;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jc w:val="both"/>
        <w:spacing w:after="0" w:line="240" w:lineRule="auto"/>
        <w:widowControl w:val="off"/>
        <w:tabs>
          <w:tab w:val="left" w:pos="195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- 11 жалоб (15%) на недостоверные сведения об оказанных медицинских услугах;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jc w:val="both"/>
        <w:spacing w:after="0" w:line="240" w:lineRule="auto"/>
        <w:widowControl w:val="off"/>
        <w:tabs>
          <w:tab w:val="left" w:pos="195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-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2 жалобы (3%) - другие причины обоснованных жалоб.</w:t>
      </w:r>
      <w:r>
        <w:rPr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73"/>
        <w:ind w:firstLine="700"/>
        <w:spacing w:before="0" w:line="283" w:lineRule="atLeast"/>
        <w:shd w:val="clear" w:color="auto" w:fill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ab/>
        <w:t xml:space="preserve">С августа 2022 года страховыми медицинскими организациями в соот</w:t>
      </w:r>
      <w:r>
        <w:rPr>
          <w:b w:val="0"/>
          <w:bCs w:val="0"/>
          <w:sz w:val="28"/>
          <w:szCs w:val="28"/>
          <w:highlight w:val="none"/>
        </w:rPr>
        <w:t xml:space="preserve">ветствии с требованиями приказа Минздрава России от 19.07.2022 № 495 «Об утверждении методики расчета дополнительного показателя «Оценка общественного мнения по удовлетворенности населения медицинской помощью, %» федерального проекта «Модернизация первично</w:t>
      </w:r>
      <w:r>
        <w:rPr>
          <w:b w:val="0"/>
          <w:bCs w:val="0"/>
          <w:sz w:val="28"/>
          <w:szCs w:val="28"/>
          <w:highlight w:val="none"/>
        </w:rPr>
        <w:t xml:space="preserve">го звена Российской Федерации» ежемесячно проводится опрос населения по удовлетворенности населения медицинской помощью. Процент удовлетворенности по каждому месяцу выше планового показателя, за 2 квартал 2023 он составил 53,1% (плановый показатель 48,3%).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709" w:right="850" w:bottom="709" w:left="1418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7"/>
      <w:numFmt w:val="decimal"/>
      <w:isLgl w:val="false"/>
      <w:suff w:val="tab"/>
      <w:lvlText w:val="%1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2"/>
  </w:num>
  <w:num w:numId="7">
    <w:abstractNumId w:val="6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2" w:default="1">
    <w:name w:val="Normal"/>
    <w:qFormat/>
  </w:style>
  <w:style w:type="paragraph" w:styleId="673">
    <w:name w:val="Heading 1"/>
    <w:basedOn w:val="672"/>
    <w:next w:val="672"/>
    <w:link w:val="701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4">
    <w:name w:val="Heading 2"/>
    <w:basedOn w:val="672"/>
    <w:next w:val="672"/>
    <w:link w:val="877"/>
    <w:uiPriority w:val="9"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75">
    <w:name w:val="Heading 3"/>
    <w:basedOn w:val="672"/>
    <w:next w:val="672"/>
    <w:link w:val="703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76">
    <w:name w:val="Heading 4"/>
    <w:basedOn w:val="672"/>
    <w:next w:val="672"/>
    <w:link w:val="704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7">
    <w:name w:val="Heading 5"/>
    <w:basedOn w:val="672"/>
    <w:next w:val="672"/>
    <w:link w:val="705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8">
    <w:name w:val="Heading 6"/>
    <w:basedOn w:val="672"/>
    <w:next w:val="672"/>
    <w:link w:val="706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79">
    <w:name w:val="Heading 7"/>
    <w:basedOn w:val="672"/>
    <w:next w:val="672"/>
    <w:link w:val="707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0">
    <w:name w:val="Heading 8"/>
    <w:basedOn w:val="672"/>
    <w:next w:val="672"/>
    <w:link w:val="708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1">
    <w:name w:val="Heading 9"/>
    <w:basedOn w:val="672"/>
    <w:next w:val="672"/>
    <w:link w:val="709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2" w:default="1">
    <w:name w:val="Default Paragraph Font"/>
    <w:uiPriority w:val="1"/>
    <w:semiHidden/>
    <w:unhideWhenUsed/>
  </w:style>
  <w:style w:type="table" w:styleId="6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4" w:default="1">
    <w:name w:val="No List"/>
    <w:uiPriority w:val="99"/>
    <w:semiHidden/>
    <w:unhideWhenUsed/>
  </w:style>
  <w:style w:type="character" w:styleId="685" w:customStyle="1">
    <w:name w:val="Heading 1 Char"/>
    <w:basedOn w:val="682"/>
    <w:uiPriority w:val="9"/>
    <w:rPr>
      <w:rFonts w:ascii="Arial" w:hAnsi="Arial" w:eastAsia="Arial" w:cs="Arial"/>
      <w:sz w:val="40"/>
      <w:szCs w:val="40"/>
    </w:rPr>
  </w:style>
  <w:style w:type="character" w:styleId="686" w:customStyle="1">
    <w:name w:val="Heading 3 Char"/>
    <w:basedOn w:val="682"/>
    <w:uiPriority w:val="9"/>
    <w:rPr>
      <w:rFonts w:ascii="Arial" w:hAnsi="Arial" w:eastAsia="Arial" w:cs="Arial"/>
      <w:sz w:val="30"/>
      <w:szCs w:val="30"/>
    </w:rPr>
  </w:style>
  <w:style w:type="character" w:styleId="687" w:customStyle="1">
    <w:name w:val="Heading 4 Char"/>
    <w:basedOn w:val="682"/>
    <w:uiPriority w:val="9"/>
    <w:rPr>
      <w:rFonts w:ascii="Arial" w:hAnsi="Arial" w:eastAsia="Arial" w:cs="Arial"/>
      <w:b/>
      <w:bCs/>
      <w:sz w:val="26"/>
      <w:szCs w:val="26"/>
    </w:rPr>
  </w:style>
  <w:style w:type="character" w:styleId="688" w:customStyle="1">
    <w:name w:val="Heading 5 Char"/>
    <w:basedOn w:val="682"/>
    <w:uiPriority w:val="9"/>
    <w:rPr>
      <w:rFonts w:ascii="Arial" w:hAnsi="Arial" w:eastAsia="Arial" w:cs="Arial"/>
      <w:b/>
      <w:bCs/>
      <w:sz w:val="24"/>
      <w:szCs w:val="24"/>
    </w:rPr>
  </w:style>
  <w:style w:type="character" w:styleId="689" w:customStyle="1">
    <w:name w:val="Heading 6 Char"/>
    <w:basedOn w:val="682"/>
    <w:uiPriority w:val="9"/>
    <w:rPr>
      <w:rFonts w:ascii="Arial" w:hAnsi="Arial" w:eastAsia="Arial" w:cs="Arial"/>
      <w:b/>
      <w:bCs/>
      <w:sz w:val="22"/>
      <w:szCs w:val="22"/>
    </w:rPr>
  </w:style>
  <w:style w:type="character" w:styleId="690" w:customStyle="1">
    <w:name w:val="Heading 7 Char"/>
    <w:basedOn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1" w:customStyle="1">
    <w:name w:val="Heading 8 Char"/>
    <w:basedOn w:val="682"/>
    <w:uiPriority w:val="9"/>
    <w:rPr>
      <w:rFonts w:ascii="Arial" w:hAnsi="Arial" w:eastAsia="Arial" w:cs="Arial"/>
      <w:i/>
      <w:iCs/>
      <w:sz w:val="22"/>
      <w:szCs w:val="22"/>
    </w:rPr>
  </w:style>
  <w:style w:type="character" w:styleId="692" w:customStyle="1">
    <w:name w:val="Heading 9 Char"/>
    <w:basedOn w:val="682"/>
    <w:uiPriority w:val="9"/>
    <w:rPr>
      <w:rFonts w:ascii="Arial" w:hAnsi="Arial" w:eastAsia="Arial" w:cs="Arial"/>
      <w:i/>
      <w:iCs/>
      <w:sz w:val="21"/>
      <w:szCs w:val="21"/>
    </w:rPr>
  </w:style>
  <w:style w:type="character" w:styleId="693" w:customStyle="1">
    <w:name w:val="Title Char"/>
    <w:basedOn w:val="682"/>
    <w:uiPriority w:val="10"/>
    <w:rPr>
      <w:sz w:val="48"/>
      <w:szCs w:val="48"/>
    </w:rPr>
  </w:style>
  <w:style w:type="character" w:styleId="694" w:customStyle="1">
    <w:name w:val="Subtitle Char"/>
    <w:basedOn w:val="682"/>
    <w:uiPriority w:val="11"/>
    <w:rPr>
      <w:sz w:val="24"/>
      <w:szCs w:val="24"/>
    </w:rPr>
  </w:style>
  <w:style w:type="character" w:styleId="695" w:customStyle="1">
    <w:name w:val="Quote Char"/>
    <w:uiPriority w:val="29"/>
    <w:rPr>
      <w:i/>
    </w:rPr>
  </w:style>
  <w:style w:type="character" w:styleId="696" w:customStyle="1">
    <w:name w:val="Intense Quote Char"/>
    <w:uiPriority w:val="30"/>
    <w:rPr>
      <w:i/>
    </w:rPr>
  </w:style>
  <w:style w:type="character" w:styleId="697" w:customStyle="1">
    <w:name w:val="Header Char"/>
    <w:basedOn w:val="682"/>
    <w:uiPriority w:val="99"/>
  </w:style>
  <w:style w:type="character" w:styleId="698" w:customStyle="1">
    <w:name w:val="Caption Char"/>
    <w:uiPriority w:val="99"/>
  </w:style>
  <w:style w:type="character" w:styleId="699" w:customStyle="1">
    <w:name w:val="Footnote Text Char"/>
    <w:uiPriority w:val="99"/>
    <w:rPr>
      <w:sz w:val="18"/>
    </w:rPr>
  </w:style>
  <w:style w:type="character" w:styleId="700" w:customStyle="1">
    <w:name w:val="Endnote Text Char"/>
    <w:uiPriority w:val="99"/>
    <w:rPr>
      <w:sz w:val="20"/>
    </w:rPr>
  </w:style>
  <w:style w:type="character" w:styleId="701" w:customStyle="1">
    <w:name w:val="Заголовок 1 Знак"/>
    <w:basedOn w:val="682"/>
    <w:link w:val="673"/>
    <w:uiPriority w:val="9"/>
    <w:rPr>
      <w:rFonts w:ascii="Arial" w:hAnsi="Arial" w:eastAsia="Arial" w:cs="Arial"/>
      <w:sz w:val="40"/>
      <w:szCs w:val="40"/>
    </w:rPr>
  </w:style>
  <w:style w:type="character" w:styleId="702" w:customStyle="1">
    <w:name w:val="Heading 2 Char"/>
    <w:basedOn w:val="682"/>
    <w:uiPriority w:val="9"/>
    <w:rPr>
      <w:rFonts w:ascii="Arial" w:hAnsi="Arial" w:eastAsia="Arial" w:cs="Arial"/>
      <w:sz w:val="34"/>
    </w:rPr>
  </w:style>
  <w:style w:type="character" w:styleId="703" w:customStyle="1">
    <w:name w:val="Заголовок 3 Знак"/>
    <w:basedOn w:val="682"/>
    <w:link w:val="675"/>
    <w:uiPriority w:val="9"/>
    <w:rPr>
      <w:rFonts w:ascii="Arial" w:hAnsi="Arial" w:eastAsia="Arial" w:cs="Arial"/>
      <w:sz w:val="30"/>
      <w:szCs w:val="30"/>
    </w:rPr>
  </w:style>
  <w:style w:type="character" w:styleId="704" w:customStyle="1">
    <w:name w:val="Заголовок 4 Знак"/>
    <w:basedOn w:val="682"/>
    <w:link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705" w:customStyle="1">
    <w:name w:val="Заголовок 5 Знак"/>
    <w:basedOn w:val="682"/>
    <w:link w:val="677"/>
    <w:uiPriority w:val="9"/>
    <w:rPr>
      <w:rFonts w:ascii="Arial" w:hAnsi="Arial" w:eastAsia="Arial" w:cs="Arial"/>
      <w:b/>
      <w:bCs/>
      <w:sz w:val="24"/>
      <w:szCs w:val="24"/>
    </w:rPr>
  </w:style>
  <w:style w:type="character" w:styleId="706" w:customStyle="1">
    <w:name w:val="Заголовок 6 Знак"/>
    <w:basedOn w:val="682"/>
    <w:link w:val="678"/>
    <w:uiPriority w:val="9"/>
    <w:rPr>
      <w:rFonts w:ascii="Arial" w:hAnsi="Arial" w:eastAsia="Arial" w:cs="Arial"/>
      <w:b/>
      <w:bCs/>
      <w:sz w:val="22"/>
      <w:szCs w:val="22"/>
    </w:rPr>
  </w:style>
  <w:style w:type="character" w:styleId="707" w:customStyle="1">
    <w:name w:val="Заголовок 7 Знак"/>
    <w:basedOn w:val="682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8" w:customStyle="1">
    <w:name w:val="Заголовок 8 Знак"/>
    <w:basedOn w:val="682"/>
    <w:link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709" w:customStyle="1">
    <w:name w:val="Заголовок 9 Знак"/>
    <w:basedOn w:val="682"/>
    <w:link w:val="681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Title"/>
    <w:basedOn w:val="672"/>
    <w:next w:val="672"/>
    <w:link w:val="711"/>
    <w:uiPriority w:val="10"/>
    <w:qFormat/>
    <w:pPr>
      <w:contextualSpacing/>
      <w:spacing w:before="300"/>
    </w:pPr>
    <w:rPr>
      <w:sz w:val="48"/>
      <w:szCs w:val="48"/>
    </w:rPr>
  </w:style>
  <w:style w:type="character" w:styleId="711" w:customStyle="1">
    <w:name w:val="Название Знак"/>
    <w:basedOn w:val="682"/>
    <w:link w:val="710"/>
    <w:uiPriority w:val="10"/>
    <w:rPr>
      <w:sz w:val="48"/>
      <w:szCs w:val="48"/>
    </w:rPr>
  </w:style>
  <w:style w:type="paragraph" w:styleId="712">
    <w:name w:val="Subtitle"/>
    <w:basedOn w:val="672"/>
    <w:next w:val="672"/>
    <w:link w:val="713"/>
    <w:uiPriority w:val="11"/>
    <w:qFormat/>
    <w:pPr>
      <w:spacing w:before="200"/>
    </w:pPr>
    <w:rPr>
      <w:sz w:val="24"/>
      <w:szCs w:val="24"/>
    </w:rPr>
  </w:style>
  <w:style w:type="character" w:styleId="713" w:customStyle="1">
    <w:name w:val="Подзаголовок Знак"/>
    <w:basedOn w:val="682"/>
    <w:link w:val="712"/>
    <w:uiPriority w:val="11"/>
    <w:rPr>
      <w:sz w:val="24"/>
      <w:szCs w:val="24"/>
    </w:rPr>
  </w:style>
  <w:style w:type="paragraph" w:styleId="714">
    <w:name w:val="Quote"/>
    <w:basedOn w:val="672"/>
    <w:next w:val="672"/>
    <w:link w:val="715"/>
    <w:uiPriority w:val="29"/>
    <w:qFormat/>
    <w:pPr>
      <w:ind w:left="720" w:right="720"/>
    </w:pPr>
    <w:rPr>
      <w:i/>
    </w:rPr>
  </w:style>
  <w:style w:type="character" w:styleId="715" w:customStyle="1">
    <w:name w:val="Цитата 2 Знак"/>
    <w:link w:val="714"/>
    <w:uiPriority w:val="29"/>
    <w:rPr>
      <w:i/>
    </w:rPr>
  </w:style>
  <w:style w:type="paragraph" w:styleId="716">
    <w:name w:val="Intense Quote"/>
    <w:basedOn w:val="672"/>
    <w:next w:val="672"/>
    <w:link w:val="71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 w:customStyle="1">
    <w:name w:val="Выделенная цитата Знак"/>
    <w:link w:val="716"/>
    <w:uiPriority w:val="30"/>
    <w:rPr>
      <w:i/>
    </w:rPr>
  </w:style>
  <w:style w:type="paragraph" w:styleId="718">
    <w:name w:val="Header"/>
    <w:basedOn w:val="672"/>
    <w:link w:val="7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 w:customStyle="1">
    <w:name w:val="Верхний колонтитул Знак"/>
    <w:basedOn w:val="682"/>
    <w:link w:val="718"/>
    <w:uiPriority w:val="99"/>
  </w:style>
  <w:style w:type="paragraph" w:styleId="720">
    <w:name w:val="Footer"/>
    <w:basedOn w:val="672"/>
    <w:link w:val="72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1" w:customStyle="1">
    <w:name w:val="Footer Char"/>
    <w:basedOn w:val="682"/>
    <w:uiPriority w:val="99"/>
  </w:style>
  <w:style w:type="paragraph" w:styleId="722">
    <w:name w:val="Caption"/>
    <w:basedOn w:val="672"/>
    <w:next w:val="672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23" w:customStyle="1">
    <w:name w:val="Нижний колонтитул Знак"/>
    <w:link w:val="720"/>
    <w:uiPriority w:val="99"/>
  </w:style>
  <w:style w:type="table" w:styleId="724">
    <w:name w:val="Table Grid"/>
    <w:basedOn w:val="68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5" w:customStyle="1">
    <w:name w:val="Table Grid Light"/>
    <w:basedOn w:val="68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6" w:customStyle="1">
    <w:name w:val="Plain Table 1"/>
    <w:basedOn w:val="68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 w:customStyle="1">
    <w:name w:val="Plain Table 2"/>
    <w:basedOn w:val="68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 w:customStyle="1">
    <w:name w:val="Plain Table 3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 w:customStyle="1">
    <w:name w:val="Plain Table 4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Plain Table 5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1 Light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4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 w:customStyle="1">
    <w:name w:val="Grid Table 4 - Accent 1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4" w:customStyle="1">
    <w:name w:val="Grid Table 4 - Accent 2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5" w:customStyle="1">
    <w:name w:val="Grid Table 4 - Accent 3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6" w:customStyle="1">
    <w:name w:val="Grid Table 4 - Accent 4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7" w:customStyle="1">
    <w:name w:val="Grid Table 4 - Accent 5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8" w:customStyle="1">
    <w:name w:val="Grid Table 4 - Accent 6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9" w:customStyle="1">
    <w:name w:val="Grid Table 5 Dark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6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7" w:customStyle="1">
    <w:name w:val="Grid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8" w:customStyle="1">
    <w:name w:val="Grid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9" w:customStyle="1">
    <w:name w:val="Grid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0" w:customStyle="1">
    <w:name w:val="Grid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1" w:customStyle="1">
    <w:name w:val="Grid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2" w:customStyle="1">
    <w:name w:val="Grid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3" w:customStyle="1">
    <w:name w:val="Grid Table 7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4" w:customStyle="1">
    <w:name w:val="Grid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5" w:customStyle="1">
    <w:name w:val="Grid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Grid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 w:customStyle="1">
    <w:name w:val="Grid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9" w:customStyle="1">
    <w:name w:val="Grid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0" w:customStyle="1">
    <w:name w:val="List Table 1 Light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1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2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3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4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5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6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4" w:customStyle="1">
    <w:name w:val="List Table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5 Dark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6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6" w:customStyle="1">
    <w:name w:val="List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7" w:customStyle="1">
    <w:name w:val="List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8" w:customStyle="1">
    <w:name w:val="List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9" w:customStyle="1">
    <w:name w:val="List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0" w:customStyle="1">
    <w:name w:val="List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1" w:customStyle="1">
    <w:name w:val="List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2" w:customStyle="1">
    <w:name w:val="List Table 7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List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List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st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List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List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Lined - Accent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0" w:customStyle="1">
    <w:name w:val="Lined - Accent 1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1" w:customStyle="1">
    <w:name w:val="Lined - Accent 2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2" w:customStyle="1">
    <w:name w:val="Lined - Accent 3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3" w:customStyle="1">
    <w:name w:val="Lined - Accent 4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4" w:customStyle="1">
    <w:name w:val="Lined - Accent 5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5" w:customStyle="1">
    <w:name w:val="Lined - Accent 6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6" w:customStyle="1">
    <w:name w:val="Bordered &amp; Lined - Accent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7" w:customStyle="1">
    <w:name w:val="Bordered &amp; Lined - Accent 1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8" w:customStyle="1">
    <w:name w:val="Bordered &amp; Lined - Accent 2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9" w:customStyle="1">
    <w:name w:val="Bordered &amp; Lined - Accent 3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0" w:customStyle="1">
    <w:name w:val="Bordered &amp; Lined - Accent 4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1" w:customStyle="1">
    <w:name w:val="Bordered &amp; Lined - Accent 5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2" w:customStyle="1">
    <w:name w:val="Bordered &amp; Lined - Accent 6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3" w:customStyle="1">
    <w:name w:val="Bordered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4" w:customStyle="1">
    <w:name w:val="Bordered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5" w:customStyle="1">
    <w:name w:val="Bordered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6" w:customStyle="1">
    <w:name w:val="Bordered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7" w:customStyle="1">
    <w:name w:val="Bordered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8" w:customStyle="1">
    <w:name w:val="Bordered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9" w:customStyle="1">
    <w:name w:val="Bordered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50">
    <w:name w:val="footnote text"/>
    <w:basedOn w:val="672"/>
    <w:link w:val="851"/>
    <w:uiPriority w:val="99"/>
    <w:semiHidden/>
    <w:unhideWhenUsed/>
    <w:pPr>
      <w:spacing w:after="40" w:line="240" w:lineRule="auto"/>
    </w:pPr>
    <w:rPr>
      <w:sz w:val="18"/>
    </w:rPr>
  </w:style>
  <w:style w:type="character" w:styleId="851" w:customStyle="1">
    <w:name w:val="Текст сноски Знак"/>
    <w:link w:val="850"/>
    <w:uiPriority w:val="99"/>
    <w:rPr>
      <w:sz w:val="18"/>
    </w:rPr>
  </w:style>
  <w:style w:type="character" w:styleId="852">
    <w:name w:val="footnote reference"/>
    <w:basedOn w:val="682"/>
    <w:uiPriority w:val="99"/>
    <w:unhideWhenUsed/>
    <w:rPr>
      <w:vertAlign w:val="superscript"/>
    </w:rPr>
  </w:style>
  <w:style w:type="paragraph" w:styleId="853">
    <w:name w:val="endnote text"/>
    <w:basedOn w:val="672"/>
    <w:link w:val="854"/>
    <w:uiPriority w:val="99"/>
    <w:semiHidden/>
    <w:unhideWhenUsed/>
    <w:pPr>
      <w:spacing w:after="0" w:line="240" w:lineRule="auto"/>
    </w:pPr>
    <w:rPr>
      <w:sz w:val="20"/>
    </w:rPr>
  </w:style>
  <w:style w:type="character" w:styleId="854" w:customStyle="1">
    <w:name w:val="Текст концевой сноски Знак"/>
    <w:link w:val="853"/>
    <w:uiPriority w:val="99"/>
    <w:rPr>
      <w:sz w:val="20"/>
    </w:rPr>
  </w:style>
  <w:style w:type="character" w:styleId="855">
    <w:name w:val="endnote reference"/>
    <w:basedOn w:val="682"/>
    <w:uiPriority w:val="99"/>
    <w:semiHidden/>
    <w:unhideWhenUsed/>
    <w:rPr>
      <w:vertAlign w:val="superscript"/>
    </w:rPr>
  </w:style>
  <w:style w:type="paragraph" w:styleId="856">
    <w:name w:val="toc 1"/>
    <w:basedOn w:val="672"/>
    <w:next w:val="672"/>
    <w:uiPriority w:val="39"/>
    <w:unhideWhenUsed/>
    <w:pPr>
      <w:spacing w:after="57"/>
    </w:pPr>
  </w:style>
  <w:style w:type="paragraph" w:styleId="857">
    <w:name w:val="toc 2"/>
    <w:basedOn w:val="672"/>
    <w:next w:val="672"/>
    <w:uiPriority w:val="39"/>
    <w:unhideWhenUsed/>
    <w:pPr>
      <w:ind w:left="283"/>
      <w:spacing w:after="57"/>
    </w:pPr>
  </w:style>
  <w:style w:type="paragraph" w:styleId="858">
    <w:name w:val="toc 3"/>
    <w:basedOn w:val="672"/>
    <w:next w:val="672"/>
    <w:uiPriority w:val="39"/>
    <w:unhideWhenUsed/>
    <w:pPr>
      <w:ind w:left="567"/>
      <w:spacing w:after="57"/>
    </w:pPr>
  </w:style>
  <w:style w:type="paragraph" w:styleId="859">
    <w:name w:val="toc 4"/>
    <w:basedOn w:val="672"/>
    <w:next w:val="672"/>
    <w:uiPriority w:val="39"/>
    <w:unhideWhenUsed/>
    <w:pPr>
      <w:ind w:left="850"/>
      <w:spacing w:after="57"/>
    </w:pPr>
  </w:style>
  <w:style w:type="paragraph" w:styleId="860">
    <w:name w:val="toc 5"/>
    <w:basedOn w:val="672"/>
    <w:next w:val="672"/>
    <w:uiPriority w:val="39"/>
    <w:unhideWhenUsed/>
    <w:pPr>
      <w:ind w:left="1134"/>
      <w:spacing w:after="57"/>
    </w:pPr>
  </w:style>
  <w:style w:type="paragraph" w:styleId="861">
    <w:name w:val="toc 6"/>
    <w:basedOn w:val="672"/>
    <w:next w:val="672"/>
    <w:uiPriority w:val="39"/>
    <w:unhideWhenUsed/>
    <w:pPr>
      <w:ind w:left="1417"/>
      <w:spacing w:after="57"/>
    </w:pPr>
  </w:style>
  <w:style w:type="paragraph" w:styleId="862">
    <w:name w:val="toc 7"/>
    <w:basedOn w:val="672"/>
    <w:next w:val="672"/>
    <w:uiPriority w:val="39"/>
    <w:unhideWhenUsed/>
    <w:pPr>
      <w:ind w:left="1701"/>
      <w:spacing w:after="57"/>
    </w:pPr>
  </w:style>
  <w:style w:type="paragraph" w:styleId="863">
    <w:name w:val="toc 8"/>
    <w:basedOn w:val="672"/>
    <w:next w:val="672"/>
    <w:uiPriority w:val="39"/>
    <w:unhideWhenUsed/>
    <w:pPr>
      <w:ind w:left="1984"/>
      <w:spacing w:after="57"/>
    </w:pPr>
  </w:style>
  <w:style w:type="paragraph" w:styleId="864">
    <w:name w:val="toc 9"/>
    <w:basedOn w:val="672"/>
    <w:next w:val="672"/>
    <w:uiPriority w:val="39"/>
    <w:unhideWhenUsed/>
    <w:pPr>
      <w:ind w:left="2268"/>
      <w:spacing w:after="57"/>
    </w:pPr>
  </w:style>
  <w:style w:type="paragraph" w:styleId="865">
    <w:name w:val="TOC Heading"/>
    <w:uiPriority w:val="39"/>
    <w:unhideWhenUsed/>
  </w:style>
  <w:style w:type="paragraph" w:styleId="866">
    <w:name w:val="table of figures"/>
    <w:basedOn w:val="672"/>
    <w:next w:val="672"/>
    <w:uiPriority w:val="99"/>
    <w:unhideWhenUsed/>
    <w:pPr>
      <w:spacing w:after="0"/>
    </w:pPr>
  </w:style>
  <w:style w:type="paragraph" w:styleId="867">
    <w:name w:val="Body Text"/>
    <w:basedOn w:val="672"/>
    <w:link w:val="868"/>
    <w:pPr>
      <w:spacing w:after="120" w:line="240" w:lineRule="auto"/>
      <w:widowControl w:val="off"/>
    </w:pPr>
    <w:rPr>
      <w:rFonts w:ascii="Times New Roman" w:hAnsi="Times New Roman" w:eastAsia="Times New Roman" w:cs="Times New Roman"/>
      <w:sz w:val="20"/>
      <w:szCs w:val="20"/>
    </w:rPr>
  </w:style>
  <w:style w:type="character" w:styleId="868" w:customStyle="1">
    <w:name w:val="Основной текст Знак"/>
    <w:basedOn w:val="682"/>
    <w:link w:val="867"/>
    <w:rPr>
      <w:rFonts w:ascii="Times New Roman" w:hAnsi="Times New Roman" w:eastAsia="Times New Roman" w:cs="Times New Roman"/>
      <w:sz w:val="20"/>
      <w:szCs w:val="20"/>
    </w:rPr>
  </w:style>
  <w:style w:type="paragraph" w:styleId="869">
    <w:name w:val="List Paragraph"/>
    <w:basedOn w:val="672"/>
    <w:uiPriority w:val="34"/>
    <w:qFormat/>
    <w:pPr>
      <w:contextualSpacing/>
      <w:ind w:left="720"/>
    </w:pPr>
  </w:style>
  <w:style w:type="paragraph" w:styleId="870">
    <w:name w:val="Balloon Text"/>
    <w:basedOn w:val="672"/>
    <w:link w:val="87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1" w:customStyle="1">
    <w:name w:val="Текст выноски Знак"/>
    <w:basedOn w:val="682"/>
    <w:link w:val="870"/>
    <w:uiPriority w:val="99"/>
    <w:semiHidden/>
    <w:rPr>
      <w:rFonts w:ascii="Tahoma" w:hAnsi="Tahoma" w:cs="Tahoma"/>
      <w:sz w:val="16"/>
      <w:szCs w:val="16"/>
    </w:rPr>
  </w:style>
  <w:style w:type="character" w:styleId="872" w:customStyle="1">
    <w:name w:val="Основной текст_"/>
    <w:link w:val="873"/>
    <w:rPr>
      <w:rFonts w:ascii="Times New Roman" w:hAnsi="Times New Roman" w:eastAsia="Times New Roman" w:cs="Times New Roman"/>
      <w:sz w:val="27"/>
      <w:szCs w:val="27"/>
      <w:shd w:val="clear" w:color="auto" w:fill="ffffff"/>
    </w:rPr>
  </w:style>
  <w:style w:type="paragraph" w:styleId="873" w:customStyle="1">
    <w:name w:val="Основной текст2"/>
    <w:basedOn w:val="672"/>
    <w:link w:val="872"/>
    <w:pPr>
      <w:jc w:val="both"/>
      <w:spacing w:before="300" w:after="0" w:line="317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7"/>
      <w:szCs w:val="27"/>
    </w:rPr>
  </w:style>
  <w:style w:type="paragraph" w:styleId="874">
    <w:name w:val="Normal (Web)"/>
    <w:basedOn w:val="672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75">
    <w:name w:val="No Spacing"/>
    <w:uiPriority w:val="1"/>
    <w:qFormat/>
    <w:pPr>
      <w:spacing w:after="0" w:line="240" w:lineRule="auto"/>
    </w:pPr>
  </w:style>
  <w:style w:type="character" w:styleId="876">
    <w:name w:val="Hyperlink"/>
    <w:basedOn w:val="682"/>
    <w:uiPriority w:val="99"/>
    <w:semiHidden/>
    <w:unhideWhenUsed/>
    <w:rPr>
      <w:color w:val="0000ff"/>
      <w:u w:val="single"/>
    </w:rPr>
  </w:style>
  <w:style w:type="character" w:styleId="877" w:customStyle="1">
    <w:name w:val="Заголовок 2 Знак"/>
    <w:basedOn w:val="682"/>
    <w:link w:val="67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78" w:customStyle="1">
    <w:name w:val="ConsPlusNonformat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A3A86-06AD-4112-A5CD-C873A721D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Ражина</dc:creator>
  <cp:lastModifiedBy>konovalenkoan</cp:lastModifiedBy>
  <cp:revision>113</cp:revision>
  <dcterms:created xsi:type="dcterms:W3CDTF">2022-09-15T06:40:00Z</dcterms:created>
  <dcterms:modified xsi:type="dcterms:W3CDTF">2025-01-20T05:28:00Z</dcterms:modified>
</cp:coreProperties>
</file>