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Об итогах работы ТФОМС Липецкой области</w:t>
      </w: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за </w:t>
      </w: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9 месяцев </w:t>
      </w:r>
      <w:r>
        <w:rPr>
          <w:rFonts w:ascii="Times New Roman" w:hAnsi="Times New Roman" w:cs="Times New Roman"/>
          <w:spacing w:val="-5"/>
          <w:sz w:val="28"/>
          <w:szCs w:val="28"/>
          <w:highlight w:val="none"/>
        </w:rPr>
        <w:t xml:space="preserve">2024 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период январь-сентябрь 2024 года доходы бюджета территориального фонда ОМС сложились в размере 16 096,5 млн. рублей, что составляет 99,7% от утвержденных законом бюджетных назначений и 113,1% к доходам аналогичного периода 2023 года (14 233.9 млн.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дств в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иде: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15 004,2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млн. рублей;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line="276" w:lineRule="auto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</w:t>
      </w:r>
      <w:r>
        <w:rPr>
          <w:sz w:val="28"/>
          <w:szCs w:val="28"/>
          <w:highlight w:val="none"/>
        </w:rPr>
        <w:t xml:space="preserve">за</w:t>
      </w:r>
      <w:r>
        <w:rPr>
          <w:sz w:val="28"/>
          <w:szCs w:val="28"/>
          <w:highlight w:val="none"/>
        </w:rPr>
        <w:t xml:space="preserve">тельного медицинского страхования, в размере 135,7 млн. рублей. Из областного бюджета дополнительно поступили МБТ на финансовое обеспечение медицинской помощи в части базовой программы ОМС (на онкологию и обеспечение доступности) в сумме 630,6 млн. рублей.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line="276" w:lineRule="auto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сопоставимых вышеуказанных доходов фонда для финансового обеспечения реализации территориальной программы ОМС в 2024 году составил 1 794,1 млн. рублей или 12,8%.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В рамках выполнения территориальной программы ОМС за 9 месяце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текущего года медицинскими организациями предъявлено на оплату медицинской помощи в объеме 15 144,0 млн. рублей, что составляет 99,0% от утвержденной стоимости программы и 113,7% к аналогичному показателю прошлого года (13 315,4 млн. рублей), в том числе: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амбулаторной медицинской помощи утверждена в сумме 6 054,1 млн. рублей, фактическое выполнение составило – 6 007,4 млн. рублей или 99,2% от утвержденной и 121,3% к соответствующему показателю прошлого года (4 950,5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стационарной медицинской помощи утверждена в сумме 6 624,3 млн. рублей, фактическое выполнение составило 6 529,1 млн. рублей или 98,6% от утвержденной стоимости и 110,4% к аналогичному показателю прошлого года (5 915,8 млн. рублей);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медицинской помощи в дневных стационарах утверждена в сумме 1 780,4 млн. рублей, фактически выполнено – 1 693,2 млн. руб. или 95,1% от утвержденной стоимости и 104,5% к соответствующему показателю 2023 года (1 620,9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скорой медицинской помощи утверждена в сумме 821,8 млн. рублей, фактически выполнено – 914,2 млн. рублей или 111,2% от утвержденной и </w:t>
      </w:r>
      <w:r>
        <w:rPr>
          <w:sz w:val="28"/>
          <w:szCs w:val="28"/>
          <w:highlight w:val="none"/>
        </w:rPr>
        <w:t xml:space="preserve">110,4% к соответствующему показателю прошлого года (828,2 млн. рублей).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за 9 месяцев текущего года: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стационарной помощи в целом – на 104,1%;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амбулаторной медицинской помощи в неотложной форме – на 87,1%, или на 105,7% к уровню прошлого года; по обращениям по поводу заболеваний – на 91,0%;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медицинской помощи, оказанной в дневных стационарах - на 84,0%,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скорой медицинской помощи – на 81,6%, или на 95,5% к уровню аналогичного показателя прошлого года.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помощи, пациентам со злокачественными новообразованиями (ЗНО), застрахованным на территории Липецкой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 9 месяцев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2024 года составила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1 859,8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104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% от запланированной суммы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1 788,7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рублей), в том числе в стационарных условиях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902,2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рублей, в условиях дневного стационара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957,6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Средняя стоимость 1 случая специализированного лечения пациентов с ЗНО за отчетный период составила в целом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72,5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тыс. рублей, в стационарных условиях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61,9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тыс. рублей, в условиях дневного стационара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86,4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тыс.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Стоимость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химиотерапии, проведенной пациентам с ЗНО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за 9 месяцев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2024  года составила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1 496,9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рублей, в том числе в стационарных условиях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567,4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рублей, в условиях дневного стационара –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929,5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структуре объема оказанной медицинской помощи удельный вес химиотерапии составил 83% (21 229 госпитализаций), в том числе в стационарных условиях – 73% (10 695 госпитализаций), в условиях дневного стационара – 95% (10 534 госпитализации).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результате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проведенного медико-экономического контроля по пункту дефекта 1.6.3 (предъявление к оплате медицинской помощи сверх распределенного объема предоставления медицинской помощи, установленного решением комиссии по разработке территориальной программы ОМС) 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9 месяцев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2024 года от оплаты отклонено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1 263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случа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лечения в стационарных усло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виях 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общую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сумму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120,6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взрослого населения на 9 месяцев 2024 года установлен в размере 338 691 челов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ек. Фактически осмотрено в рамках диспансеризации – 343 462 человек или 101,4% от утвержденного плана. Предъявлено счетов к оплате за проведенную диспансеризацию в рамках 1 и 2 этапов на сумму 1 036 414,1 тыс. рублей, оплачено 1 015 650,1 тыс. рублей. Из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30 медицинских организаций, проводивших диспансеризацию взрослого населения, не выполнили установленный план – 10, в том числе: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- 60,7%;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районная больница» – 70,2%.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взрослого населения на 9 месяцев 2024 года установлен в размере 117 639 человека. Фактичес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ки осмотрено 99 647 человек на сумму 157 571,1 тыс. рублей, что составило 84,7 %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– 28,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поликлиника № 7» - 47%;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городская больница № 3 «Свободный Сокол» - 47%;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Воловская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– 55%;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«Елецкая РБ» - 66%;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Краснинская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– 32%;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Хлевенская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- 68%.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профилактических медицинских осмотров несовершеннолетних на 9 месяцев 2024 года установлен в размере 162 287 чел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овек. Фактически осмотрено 145 498 человек на сумму 462 093,7 тыс. рублей, что составило 89,7% от утвержденного плана. Из 23 медицинских организаций, проводивших профилактические медицинские осмотры несовершеннолетних, не выполнили установленный план - 19.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детей-сирот, усыновленных и принятых под опеку, за 9 месяцев 2024 года составил 1 329 челов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ек. Фактически осмотрено 1 155 человек на сумму 5 187,9 тыс. рублей, что составило 86,9% от утвержденного плана. Из 23 медицинских организаций, проводивших диспансеризации детей-сирот, усыновленных и принятых под опеку, не выполнили установленный план - 9.</w:t>
      </w:r>
      <w:r>
        <w:rPr>
          <w:highlight w:val="none"/>
        </w:rPr>
      </w:r>
      <w:r>
        <w:rPr>
          <w:highlight w:val="none"/>
        </w:rPr>
      </w:r>
    </w:p>
    <w:p>
      <w:pPr>
        <w:pStyle w:val="921"/>
        <w:ind w:firstLine="709"/>
        <w:jc w:val="both"/>
        <w:spacing w:line="283" w:lineRule="atLeast"/>
        <w:tabs>
          <w:tab w:val="left" w:pos="6397" w:leader="none"/>
        </w:tabs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диспансеризации детей-сирот, пребывающих в стационарных учреждениях, за 9 месяцев 2024 года составил 707 человек. Фактически осмотрено 744 человек на сумму 3 797,8 тыс. рублей, что составило 105,2% от утвержденного плана.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 месяцев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2024 года медицинскими организациями Липецкой области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оказана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медицинская помощь 22 157 иногородним пациентам на общую сумму 302,0 млн. рублей, которая оплачена по предъявленным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счетам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 реест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счетов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полном объеме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Липецкой област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 иногородним пациентам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медицинская помощь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оказана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акушерство и гинекол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огия – 2 625 случаев на сумму 19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,9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ология – 792 случая на сумму 19,0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нефро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логия – 1 074 случаев на сумму 8,7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нейрохирургия – 225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случаев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сумму 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,7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огия – 2 030 случаев на сумму 17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,3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0"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нкология - 518 случаев на сумму 9,8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хим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иотерапия - 125 случаев на сумму 6,4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ия – 6 293 случая на сумму 88,1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травматология и орт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опедия – 2 795 случаев на сумму 15,0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у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рология – 55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 случаев на сумму 6,0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рублей.</w:t>
      </w:r>
      <w:r>
        <w:rPr>
          <w:highlight w:val="none"/>
        </w:rPr>
      </w:r>
      <w:r>
        <w:rPr>
          <w:highlight w:val="none"/>
        </w:rPr>
      </w:r>
    </w:p>
    <w:p>
      <w:pPr>
        <w:pStyle w:val="913"/>
        <w:ind w:firstLine="709"/>
        <w:jc w:val="both"/>
        <w:spacing w:after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</w:t>
      </w:r>
      <w:r>
        <w:rPr>
          <w:sz w:val="28"/>
          <w:szCs w:val="28"/>
          <w:highlight w:val="none"/>
        </w:rPr>
        <w:t xml:space="preserve">9 месяцев</w:t>
      </w:r>
      <w:r>
        <w:rPr>
          <w:sz w:val="28"/>
          <w:szCs w:val="28"/>
          <w:highlight w:val="none"/>
        </w:rPr>
        <w:t xml:space="preserve"> 2024 года территориальными фондами ОМС других субъектов РФ предъявлено счетов и реестров счетов за оказанную </w:t>
      </w:r>
      <w:r>
        <w:rPr>
          <w:sz w:val="28"/>
          <w:szCs w:val="28"/>
          <w:highlight w:val="none"/>
        </w:rPr>
        <w:t xml:space="preserve">медицинскую помощь 22 025</w:t>
      </w:r>
      <w:r>
        <w:rPr>
          <w:sz w:val="28"/>
          <w:szCs w:val="28"/>
          <w:highlight w:val="none"/>
        </w:rPr>
        <w:t xml:space="preserve"> пациентам, застрахованным на территории Лип</w:t>
      </w:r>
      <w:r>
        <w:rPr>
          <w:sz w:val="28"/>
          <w:szCs w:val="28"/>
          <w:highlight w:val="none"/>
        </w:rPr>
        <w:t xml:space="preserve">ецкой области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на общую сумму 790,0</w:t>
      </w:r>
      <w:r>
        <w:rPr>
          <w:sz w:val="28"/>
          <w:szCs w:val="28"/>
          <w:highlight w:val="none"/>
        </w:rPr>
        <w:t xml:space="preserve"> млн. рублей, в том числе высокотехно</w:t>
      </w:r>
      <w:r>
        <w:rPr>
          <w:sz w:val="28"/>
          <w:szCs w:val="28"/>
          <w:highlight w:val="none"/>
        </w:rPr>
        <w:t xml:space="preserve">логичной медицинской помощи – 177,1</w:t>
      </w:r>
      <w:r>
        <w:rPr>
          <w:sz w:val="28"/>
          <w:szCs w:val="28"/>
          <w:highlight w:val="none"/>
        </w:rPr>
        <w:t xml:space="preserve"> млн. рублей.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3"/>
        <w:ind w:firstLine="709"/>
        <w:jc w:val="both"/>
        <w:spacing w:after="0" w:line="283" w:lineRule="atLeast"/>
        <w:rPr>
          <w:highlight w:val="none"/>
        </w:rPr>
      </w:pPr>
      <w:r>
        <w:rPr>
          <w:sz w:val="28"/>
          <w:szCs w:val="28"/>
          <w:highlight w:val="none"/>
        </w:rPr>
        <w:t xml:space="preserve">З</w:t>
      </w:r>
      <w:r>
        <w:rPr>
          <w:sz w:val="28"/>
          <w:szCs w:val="28"/>
          <w:highlight w:val="none"/>
        </w:rPr>
        <w:t xml:space="preserve">а </w:t>
      </w:r>
      <w:r>
        <w:rPr>
          <w:sz w:val="28"/>
          <w:szCs w:val="28"/>
          <w:highlight w:val="none"/>
        </w:rPr>
        <w:t xml:space="preserve">9 месяцев 2024 года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ТФОМС Липецкой области </w:t>
      </w:r>
      <w:r>
        <w:rPr>
          <w:sz w:val="28"/>
          <w:szCs w:val="28"/>
          <w:highlight w:val="none"/>
        </w:rPr>
        <w:t xml:space="preserve">оплачено с учетом задолженности по состоянию на 01.0</w:t>
      </w:r>
      <w:r>
        <w:rPr>
          <w:sz w:val="28"/>
          <w:szCs w:val="28"/>
          <w:highlight w:val="none"/>
        </w:rPr>
        <w:t xml:space="preserve">1.2024 (180,3 млн. рублей) – 853</w:t>
      </w:r>
      <w:r>
        <w:rPr>
          <w:sz w:val="28"/>
          <w:szCs w:val="28"/>
          <w:highlight w:val="none"/>
        </w:rPr>
        <w:t xml:space="preserve">,1 млн. рублей. Задолженность по счетам, поступивших к оплате</w:t>
      </w:r>
      <w:r>
        <w:rPr>
          <w:sz w:val="28"/>
          <w:szCs w:val="28"/>
          <w:highlight w:val="none"/>
        </w:rPr>
        <w:t xml:space="preserve"> в отчетном периоде</w:t>
      </w:r>
      <w:r>
        <w:rPr>
          <w:sz w:val="28"/>
          <w:szCs w:val="28"/>
          <w:highlight w:val="none"/>
        </w:rPr>
        <w:t xml:space="preserve"> п</w:t>
      </w:r>
      <w:r>
        <w:rPr>
          <w:sz w:val="28"/>
          <w:szCs w:val="28"/>
          <w:highlight w:val="none"/>
        </w:rPr>
        <w:t xml:space="preserve">о состоянию на 01.10.2024 года составила 119,9</w:t>
      </w:r>
      <w:r>
        <w:rPr>
          <w:sz w:val="28"/>
          <w:szCs w:val="28"/>
          <w:highlight w:val="none"/>
        </w:rPr>
        <w:t xml:space="preserve"> млн. рублей, в том числе </w:t>
      </w:r>
      <w:r>
        <w:rPr>
          <w:sz w:val="28"/>
          <w:szCs w:val="28"/>
          <w:highlight w:val="none"/>
        </w:rPr>
        <w:t xml:space="preserve">просроченная (</w:t>
      </w:r>
      <w:r>
        <w:rPr>
          <w:sz w:val="28"/>
          <w:szCs w:val="28"/>
          <w:highlight w:val="none"/>
        </w:rPr>
        <w:t xml:space="preserve">со сроком возникновени</w:t>
      </w:r>
      <w:r>
        <w:rPr>
          <w:sz w:val="28"/>
          <w:szCs w:val="28"/>
          <w:highlight w:val="none"/>
        </w:rPr>
        <w:t xml:space="preserve">я свыше 25 календарных дней) – 47</w:t>
      </w:r>
      <w:r>
        <w:rPr>
          <w:sz w:val="28"/>
          <w:szCs w:val="28"/>
          <w:highlight w:val="none"/>
        </w:rPr>
        <w:t xml:space="preserve">,5 млн. 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Медицинскими организациями других субъектов Российской Федерации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пациентам, застрахованным на территории Липецкой области, медицинская помощь оказана по следующим основным профилям: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акушерство и гинекология – 1 7</w:t>
      </w:r>
      <w:bookmarkStart w:id="1" w:name="_GoBack"/>
      <w:r>
        <w:rPr>
          <w:highlight w:val="none"/>
        </w:rPr>
      </w:r>
      <w:bookmarkEnd w:id="1"/>
      <w:r>
        <w:rPr>
          <w:rFonts w:ascii="Times New Roman" w:hAnsi="Times New Roman" w:cs="Times New Roman"/>
          <w:sz w:val="28"/>
          <w:szCs w:val="28"/>
          <w:highlight w:val="none"/>
        </w:rPr>
        <w:t xml:space="preserve">28 случаев на сумму 17,4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ЭКО - 25 случаев на сумму 3,0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инфекционные болезни - 674 случая на сумму 11,1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кар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диология – 1 088 случаев на сумму 18,0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0"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медицинская реабилитация – 314 случаев на сумму 21,4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неврология – 1 122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случая на сумму 11,9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нейрохирургия – 338 случаев на сумму 28,8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онкология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9 866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случаев 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сумму 298,4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 (в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- 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0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химиотерапия – 646 случаев на сумму 177,0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офтальмология – 2 599 случаев на сумму 26,3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рдечно-сосудистая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хирургия - 481 случай на сумму 43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,8 млн. рублей;</w:t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травматология 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ортопедия – 2 673 случая на сумму 139,9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урология – 546 случаев на сумму 8,2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5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Расходы медицинских организаций за 9 месяцев 2024 года составили 13 882,4 млн. рублей, что выше показателя прошлого года на 10,9% или на 1 369,5 млн. рублей (12 512,9 млн. рублей), в том числе: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на оплату труда с начислениями – 9 578,3 млн. рублей, что составляет 113,3% от уровня прошлого года (8 453,6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медикаменты – 2 416,9 млн. рублей, что выше уровня прошлого года на 5,0% (2 301,6 млн. рублей);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продукты питания – 154,7 млн. рублей, что выше показателя прошлого года на 1,2% (152,8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коммунальных услуг – 430,9 млн. рублей, что выше уровня прошлого года на 10,1% (391,4 млн. рублей),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69,0%, при этом темпы роста данных расходов в сравнении с предыдущим периодом не превышают темпы роста по другим видам расходов.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Наиболее высокий темп роста расходов м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едицинских организаций за период 9 месяцев текущего года наблюдается по расходам на услуги связи – 140,8% и транспортные услуги – 123,8%, при этом доля этих расходов в общем объеме расходов медицинских организаций минимальна - 0,3% и 0,03% соответственно.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Средняя заработная плата работников государственных медицинских организаций Липецкой области в системе ОМС за 9 месяцев 2024 года составила 46,64 тыс. рублей, что на 16,4% выше аналогичного показателя прошлого года (40,07 тыс. рублей)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14,4% и составила 48,82 тыс. рублей (2023 год – 42,67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стационарном звене рост средней зарплаты медицинских работников составил 14,3 % - 59,93 тыс. рублей (2023 год – 52,44 тыс. рублей);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подразделениях скорой медицинской помощи средняя зарплата медицинских работников из средств ОМС составила 57,92 тыс. рублей, рост – 20,3 % (2023 год – 48,16 тыс. рублей).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отчетном периоде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врачебным кадрам средняя зарплата увеличилась на 13,2% и составила 83,86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(74,07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среднему медперсоналу рост средней зарплаты составил 15,1 % - 45,99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(39,97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младшему медицинскому персоналу средняя зарплата увеличилась на 18,7% и составила 43,43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(36,59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прочему персоналу рост средней зарплаты составил 20,1% - 29,48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(24,54 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по АУП средняя зарплата увеличилась на 16,4 % и составила 72,30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рублей (62,14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 рублей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2023 году)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ахового запаса, утвержден на 2024 год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18 391,0 тыс. 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ублей, в том числе на дополнительное профессиональное образование медицинских работников – 1 685,6 тыс. рублей, на проведение ремонта медицинского оборудования – 16 705,4 тыс. рублей. Подписаны соглашения с 22 медицинскими организациями Липецкой области 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9 месяцев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было направлено средств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на проведение мероприятий по организации дополнительного профессионального образования медицинских работников по программам повышения квалификации, а так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же по приобретению и проведению ремонта медицинского оборудования на сумму 3 491,9 тыс. рублей, в том числе на дополнительное профессиональное образование медицинских работников – 965,6 тыс. рублей, на проведение ремонта медицинского оборудования – 2 526,3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тыс.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расходов медицинских организаций на оплату труда врачей и среднего медицинского персонала, распоряжением Правительства Российской Федерации для Липецкой области в 2024 году предусмотрено – 29,1 млн. рублей.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9 месяцев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в соответствии с их заявками было направлено 21 479,9 млн. рублей. Из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9 месяцев 2024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осуществлено финансирование заработной платы 84 медицинских работников, (в том числе 47 врачей и 37 человек среднего медицинского персонала).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план проверок на 9 месяцев 2024 года включены 35 медицинских организаций и 2 страховые  медицинские организации.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За 9 месяцев 2024 год проведено 37 проверок, в том числе: в медицинских организациях - 35 плановых проверок, в страховых медицинских организациях - 2 плановые комплексные проверки,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статок невосстановленных средств ОМС по состоянию на 01.01.2024 года составил 3 970,9 тыс.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 итогам проверок за 9 месяцев 2024 года в медицинских организациях  выявлено нецелевое использование средств обязательного медицинского страхования на сумму 6 573,8 тыс. рублей: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«Оплата видов медицинской помощи, не включенных в территориальную программу ОМС» - 168,2 тыс.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или 2,6%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- 168,2 тыс. рублей -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обучение по темам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не связанным с оказанием медицинской помощи в рамках территориальной программы ОМС.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«Оплата расходов, не включенных в тарифы на оплату медицинской помощи в рамках территориальной программы ОМС» - 3 713,3 тыс.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или 56,5%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- 58,7 тыс. рублей – выплата материальной помощи работникам медицинской организации;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- 515,8 тыс. рублей - приобретение оборудования стоимостью свыше 100,0 тыс. рублей за единицу;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937,0 тыс. рублей - выплата заработной платы работнику за работу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не связанную с реализацией территориальной программы;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- 15,0 тыс. рублей -  организационный сбор за участие в конкурсе;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- 102,3 тыс. рублей – оплата за проведение аудита;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- 735,3 тыс. рублей – приобретение  расходных материалов для оказания медицинской помощи, не предусмотренной лицензией;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- 13,5 тыс. рублей – оплата судебных расходов;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- 1 256,2 тыс. рублей - оплата аренды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имущества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не эксплуатируемого в процессе оказания медицинской помощи;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- 79,5 тыс. рублей оплата земельного налога и налога на имущество арендованного имущества.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дств св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ерх норм, установленных соответствующими  министерствами, ведомствами» –762,0 тыс. рублей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или 11,6%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- 762,0 тыс. рублей – выплаты заработной платы с учетом начислений, произведенные с превышением установленных норм;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«Расходование сре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дств пр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и отсутствии подтверждающих документов» - 1 930,3 тыс. рублей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или 29,3% от выявленной суммы нецелевого использования средств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 ОМС: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- 1 380,1 тыс. рублей.- выплата заработной платы, с учетом начислений, при отсутствии  сертификата  (аккредитации) специалиста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- 81,9 тыс. рублей – выплата денежной компенсации не подтвержденная  первичными документами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- 468,3 тыс. рублей – документально не подтвержденные расходы.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Возвращено в бюджет ТФОМС Липецкой области в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- 4 935,3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Уменьшено в отчетном периоде сумм выявленного нецелевого использования средств по решениям судебных органов – 889,1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 состоянию на 30.09.2024 года остаток невосстановленных медицинскими организациями средств ОМС составляет 4 720,3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9 месяцев 2024 года составила 1 442,4 тыс. рублей, в том числе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: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медицинским организациям – 1 383,6 тыс. рублей;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 страховым медицинским организациям – 58,8 тыс. рублей.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Остаток задолженности по штрафам по результатам проверок по состоянию на 01.01.2024 года составлял 474,3 тыс.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,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в том числе: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медицинским  организациям – 364,8 тыс. рублей;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страховым медицинским организациям – 109,5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Получено в отчетном периоде штрафов, пеней по результатам проверок 1 043,9 тыс. рублей, в том числе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от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: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медицинских  организаций – 875,6 тыс. рублей; 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страховых  медицинских организаций – 168,3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Уменьшено в отчетном периоде сумм предъявленных штрафов, пеней по результатам проверок по решению судебных органов – 88,9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Задолженность по штрафам и пени медицинских организаций по состоянию на 30.09.2024 - 783,9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 результатам проведенных за 9 месяцев 2024 года проверок медицинских организаций финансовые потери в результате частичной или полной неоплаты медицинской помощи составили 72 794,6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ходе контрольных мероприятий за 9 месяцев 2024 года были установлены нарушения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риведшие к неэффективному использованию средств ОМС на сумму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12 152,4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тыс. рублей: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12 052,4 тыс.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100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организаций;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- осуществлять в постоянном реж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Исключени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Руководителям медицинских организаций необходимо принять меры по усилению финансовой дисциплины. Недопустимость нецелевого расходования средств ОМС медицинскими организациями следует признать одним из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основополагающих принципов деятельности указанных субъектов,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соблюдение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которого частично гарантирует достижение поставленных перед ними задач.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Просроченная кредиторская задолженность государств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енных медицинских организаций перед поставщиками за поставленные материальные ценности и оказанные услуги в течение 9 месяцев 2024 года сократилась на 40%, на 01.01.2024 она составляла 52 203,9 тыс. рублей, на 01.10.2024 она составила 31 163,4 тыс.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рамках контроля объемов, сроков, качества и условий оказания медицин</w:t>
      </w:r>
      <w:r>
        <w:rPr>
          <w:sz w:val="28"/>
          <w:szCs w:val="28"/>
          <w:highlight w:val="none"/>
        </w:rPr>
        <w:t xml:space="preserve">ской помощи, оказанной медицинскими организациями Липецкой области, спе</w:t>
      </w:r>
      <w:r>
        <w:rPr>
          <w:sz w:val="28"/>
          <w:szCs w:val="28"/>
          <w:highlight w:val="none"/>
        </w:rPr>
        <w:t xml:space="preserve">циалистами СМО в отчетном периоде проводи</w:t>
      </w:r>
      <w:r>
        <w:rPr>
          <w:sz w:val="28"/>
          <w:szCs w:val="28"/>
          <w:highlight w:val="none"/>
        </w:rPr>
        <w:t xml:space="preserve">лись экспертные мероприятия в соответствии с действующими нормативными ак</w:t>
      </w:r>
      <w:r>
        <w:rPr>
          <w:sz w:val="28"/>
          <w:szCs w:val="28"/>
          <w:highlight w:val="none"/>
        </w:rPr>
        <w:t xml:space="preserve">тами.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январь-сентябрь 2024 года подвергнуто экспертизам 91,8 тыс. страховых случаев медицинской помощи, оказанных гражданам, застрахованным на территории Липецкой области, в том числе в ходе плановых проверок 20,9 тысяч.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 проведении медико-экономических экспертиз (МЭЭ) за январь-сентябрь 2024 года было проанализировано 70,7 тыс. случаев оказания медицинской помощи, в том числе при целевых проверках 54,0 тыс. случаев.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результате МЭЭ было установлено 17 219 нарушение (24%), отмечается увеличение количества дефектов в сравнении с аналогичным периодом 2023 года, когда данный по</w:t>
      </w:r>
      <w:r>
        <w:rPr>
          <w:sz w:val="28"/>
          <w:szCs w:val="28"/>
          <w:highlight w:val="none"/>
        </w:rPr>
        <w:t xml:space="preserve">казатель составлял 15% (в 2022 - 8%).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представление первичной медицинской документации, подтверждающей факт оказания ЗЛ медицинской помощи», составило – 2 597 или 15% от общего количества нарушений, по сравнению с аналогичным периодом 2023 года количество данных нарушений уменьшилось в 3 раза.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8 755 или 50% от общего количества нарушений, что в 2 раза больше, чем в аналогичном периоде 2023 года.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о нарушений по причине «отсутствие в документации информированного добровольного согласия застрахованного лица на медицинское вмешательство»,  составило – 4 535 или 26% от общего количества нарушений, что на 5% меньше, чем в аналогичном периоде 2023 года.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ходе экспертиз  качества медицинской помощи (ЭКМП)  было проанализировано  21,2 тыс. слу</w:t>
      </w:r>
      <w:r>
        <w:rPr>
          <w:sz w:val="28"/>
          <w:szCs w:val="28"/>
          <w:highlight w:val="none"/>
        </w:rPr>
        <w:t xml:space="preserve">чаев оказания медицинской помощи, в том числе при целевых проверках – 16,9 тыс. случаев.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результате ЭКМП было установлено 7 770 нарушения (37%), отме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чается увеличение в сравнении с аналогичным периодом 2023 года, когда данный показатель составлял 23%.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Наибольшее количество нарушений – «невыполнение, несвоевременное или ненадлежаще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- 4 354 или 56% от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общего количества нарушений, в том числе при проведении диспансеризации определенных групп взрослого населения – 1 960 (45%).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количество их составило – 1 623 или 20% от общего количества нарушений, в том числе: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«несоответствие данных первичной медицинской документации данным реестра счетов», составило – 889 или 54%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327 или 20%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118 или 7% от общего количества нарушений из раздела 2.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По итогам МЭЭ и ЭКМП к медицинским организациям применены финан</w:t>
      </w:r>
      <w:r>
        <w:rPr>
          <w:sz w:val="28"/>
          <w:szCs w:val="28"/>
          <w:highlight w:val="none"/>
        </w:rPr>
        <w:t xml:space="preserve">совые санкции в размере 91,0 млн. рублей (2023 год – 139,8 млн. рублей).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9 месяцев 2024 года проведено 139 898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130 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36 медико-экономического контроля, 8 677 медико-экономических экспертиз, 685 экспертиз качества медицинской помощи. По результатам контрольно-экспертных мероприятий выявлено 6 912 дефектов, в том числе 1 033 по страховым случаям с применением химиотерапии.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январь-сентябрь 2024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Количество страховых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случаев, подвергшихся повторной МЭЭ, составило 2 290, количество страховых случаев, подвергшихся повторной ЭКМП, составило 835, что соответствует требованиям приказа ФФОМС от 19.03.2021 № 231н «Об утверждении Порядка проведения контроля объемов, сроков, ка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Установлены нарушения в  51 случае (1,6%), допуще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ru-RU"/>
        </w:rPr>
        <w:t xml:space="preserve">нные медицинскими организациями, но не выявленные СМО при первичном проведении экспертиз. По итогам повторных экспертиз к СМО применены штрафные санкций в размере 16 589,80 рублей - 10% от суммы, необоснованно оплаченной медицинским организациям.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январь-сентябрь 2024 года ТФОМС и СМО было рассмотрено 64 150 обраще</w:t>
      </w:r>
      <w:r>
        <w:rPr>
          <w:sz w:val="28"/>
          <w:szCs w:val="28"/>
          <w:highlight w:val="none"/>
        </w:rPr>
        <w:t xml:space="preserve">ний. В сравнении с аналогичным периодом 2023 года количество обращений уменьшилось на 17,5 тысяч.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Всего обращений за разъяснениями, в том числе заявлений, 63 992,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просам выбора и/или замены СМО, включение в единый регистр застрахованных, обеспечение выдачи полисов, о переоформлении полиса ОМС — 56 261 или 87%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январь-сентябрь 2024 года поступило 149 жалобы или 0,2% от общего числа обращений; в 2023 году данный показатель 136 (0,2%).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Все жалобы рассмотрены в досудебном порядке, в установленные законом сроки, обоснованными признано 91 (60%), за аналогичный период 2023 года 96 жалоб (70%) были признаны обоснованными.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firstLine="70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Структура обоснованных жалоб по причинам сложилась следующим обра</w:t>
      </w:r>
      <w:r>
        <w:rPr>
          <w:sz w:val="28"/>
          <w:szCs w:val="28"/>
          <w:highlight w:val="none"/>
        </w:rPr>
        <w:t xml:space="preserve">зом: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left="0" w:firstLine="0"/>
        <w:spacing w:before="0" w:line="240" w:lineRule="auto"/>
        <w:shd w:val="clear" w:color="auto" w:fill="auto"/>
        <w:tabs>
          <w:tab w:val="left" w:pos="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</w:t>
      </w:r>
      <w:r>
        <w:rPr>
          <w:sz w:val="28"/>
          <w:szCs w:val="28"/>
          <w:highlight w:val="none"/>
        </w:rPr>
        <w:t xml:space="preserve">59 жалоб (65%) на качество медицинской помощи;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</w:t>
      </w:r>
      <w:r>
        <w:rPr>
          <w:sz w:val="28"/>
          <w:szCs w:val="28"/>
          <w:highlight w:val="none"/>
        </w:rPr>
        <w:t xml:space="preserve">23 жалоб (25%) на недостоверные сведения об оказанных медицинских услугах;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</w:t>
      </w:r>
      <w:r>
        <w:rPr>
          <w:sz w:val="28"/>
          <w:szCs w:val="28"/>
          <w:highlight w:val="none"/>
        </w:rPr>
        <w:t xml:space="preserve">7 жалобы (8%) на организацию работы медицинской организации;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</w:t>
      </w:r>
      <w:r>
        <w:rPr>
          <w:sz w:val="28"/>
          <w:szCs w:val="28"/>
          <w:highlight w:val="none"/>
        </w:rPr>
        <w:t xml:space="preserve">1 жалоба (1%) на отказ в оказании медицинской помощи по программам ОМС;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9"/>
        <w:ind w:left="0" w:firstLine="0"/>
        <w:spacing w:before="0" w:line="240" w:lineRule="auto"/>
        <w:shd w:val="clear" w:color="auto" w:fill="auto"/>
        <w:tabs>
          <w:tab w:val="left" w:pos="19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</w:t>
      </w:r>
      <w:r>
        <w:rPr>
          <w:sz w:val="28"/>
          <w:szCs w:val="28"/>
          <w:highlight w:val="none"/>
        </w:rPr>
        <w:t xml:space="preserve">1 </w:t>
      </w:r>
      <w:r>
        <w:rPr>
          <w:sz w:val="28"/>
          <w:szCs w:val="28"/>
          <w:highlight w:val="none"/>
        </w:rPr>
        <w:t xml:space="preserve">жалоба (1%) на взимание денежных средств за оказанную медицинскую помощь.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9 месяцев 2024 года составил 57,3%.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3"/>
  </w:num>
  <w:num w:numId="7">
    <w:abstractNumId w:val="10"/>
  </w:num>
  <w:num w:numId="8">
    <w:abstractNumId w:val="4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80">
    <w:name w:val="Plain Table 1"/>
    <w:basedOn w:val="7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1">
    <w:name w:val="Plain Table 2"/>
    <w:basedOn w:val="7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2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3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5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9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0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1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4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97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98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99" w:default="1">
    <w:name w:val="Normal"/>
    <w:qFormat/>
  </w:style>
  <w:style w:type="paragraph" w:styleId="700">
    <w:name w:val="Heading 1"/>
    <w:basedOn w:val="699"/>
    <w:next w:val="699"/>
    <w:link w:val="74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1">
    <w:name w:val="Heading 2"/>
    <w:basedOn w:val="699"/>
    <w:next w:val="699"/>
    <w:link w:val="923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2">
    <w:name w:val="Heading 3"/>
    <w:basedOn w:val="699"/>
    <w:next w:val="699"/>
    <w:link w:val="74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3">
    <w:name w:val="Heading 4"/>
    <w:basedOn w:val="699"/>
    <w:next w:val="699"/>
    <w:link w:val="75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699"/>
    <w:next w:val="699"/>
    <w:link w:val="75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699"/>
    <w:next w:val="699"/>
    <w:link w:val="75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6">
    <w:name w:val="Heading 7"/>
    <w:basedOn w:val="699"/>
    <w:next w:val="699"/>
    <w:link w:val="75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7">
    <w:name w:val="Heading 8"/>
    <w:basedOn w:val="699"/>
    <w:next w:val="699"/>
    <w:link w:val="75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8">
    <w:name w:val="Heading 9"/>
    <w:basedOn w:val="699"/>
    <w:next w:val="699"/>
    <w:link w:val="75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table" w:styleId="712" w:customStyle="1">
    <w:name w:val="Таблица простая 1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Таблица простая 21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Таблица простая 3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 w:customStyle="1">
    <w:name w:val="Таблица простая 4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Таблица простая 5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 w:customStyle="1">
    <w:name w:val="Таблица-сетка 1 светл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Таблица-сетка 2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Таблица-сетка 3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Таблица-сетка 4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 w:customStyle="1">
    <w:name w:val="Таблица-сетка 5 тем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2" w:customStyle="1">
    <w:name w:val="Таблица-сетка 6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3" w:customStyle="1">
    <w:name w:val="Таблица-сетка 7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24" w:customStyle="1">
    <w:name w:val="Список-таблица 1 светлая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Список-таблица 2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6" w:customStyle="1">
    <w:name w:val="Список-таблица 3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Список-таблица 4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Список-таблица 5 тем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29" w:customStyle="1">
    <w:name w:val="Список-таблица 6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30" w:customStyle="1">
    <w:name w:val="Список-таблица 7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31" w:customStyle="1">
    <w:name w:val="Heading 1 Char"/>
    <w:basedOn w:val="709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Heading 3 Char"/>
    <w:basedOn w:val="709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Heading 4 Char"/>
    <w:basedOn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Heading 5 Char"/>
    <w:basedOn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6 Char"/>
    <w:basedOn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Heading 7 Char"/>
    <w:basedOn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Heading 8 Char"/>
    <w:basedOn w:val="709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Heading 9 Char"/>
    <w:basedOn w:val="709"/>
    <w:uiPriority w:val="9"/>
    <w:rPr>
      <w:rFonts w:ascii="Arial" w:hAnsi="Arial" w:eastAsia="Arial" w:cs="Arial"/>
      <w:i/>
      <w:iCs/>
      <w:sz w:val="21"/>
      <w:szCs w:val="21"/>
    </w:rPr>
  </w:style>
  <w:style w:type="character" w:styleId="739" w:customStyle="1">
    <w:name w:val="Title Char"/>
    <w:basedOn w:val="709"/>
    <w:uiPriority w:val="10"/>
    <w:rPr>
      <w:sz w:val="48"/>
      <w:szCs w:val="48"/>
    </w:rPr>
  </w:style>
  <w:style w:type="character" w:styleId="740" w:customStyle="1">
    <w:name w:val="Subtitle Char"/>
    <w:basedOn w:val="709"/>
    <w:uiPriority w:val="11"/>
    <w:rPr>
      <w:sz w:val="24"/>
      <w:szCs w:val="24"/>
    </w:rPr>
  </w:style>
  <w:style w:type="character" w:styleId="741" w:customStyle="1">
    <w:name w:val="Quote Char"/>
    <w:uiPriority w:val="29"/>
    <w:rPr>
      <w:i/>
    </w:rPr>
  </w:style>
  <w:style w:type="character" w:styleId="742" w:customStyle="1">
    <w:name w:val="Intense Quote Char"/>
    <w:uiPriority w:val="30"/>
    <w:rPr>
      <w:i/>
    </w:rPr>
  </w:style>
  <w:style w:type="character" w:styleId="743" w:customStyle="1">
    <w:name w:val="Header Char"/>
    <w:basedOn w:val="709"/>
    <w:uiPriority w:val="99"/>
  </w:style>
  <w:style w:type="character" w:styleId="744" w:customStyle="1">
    <w:name w:val="Caption Char"/>
    <w:uiPriority w:val="99"/>
  </w:style>
  <w:style w:type="character" w:styleId="745" w:customStyle="1">
    <w:name w:val="Footnote Text Char"/>
    <w:uiPriority w:val="99"/>
    <w:rPr>
      <w:sz w:val="18"/>
    </w:rPr>
  </w:style>
  <w:style w:type="character" w:styleId="746" w:customStyle="1">
    <w:name w:val="Endnote Text Char"/>
    <w:uiPriority w:val="99"/>
    <w:rPr>
      <w:sz w:val="20"/>
    </w:rPr>
  </w:style>
  <w:style w:type="character" w:styleId="747" w:customStyle="1">
    <w:name w:val="Заголовок 1 Знак"/>
    <w:basedOn w:val="709"/>
    <w:link w:val="700"/>
    <w:uiPriority w:val="9"/>
    <w:rPr>
      <w:rFonts w:ascii="Arial" w:hAnsi="Arial" w:eastAsia="Arial" w:cs="Arial"/>
      <w:sz w:val="40"/>
      <w:szCs w:val="40"/>
    </w:rPr>
  </w:style>
  <w:style w:type="character" w:styleId="748" w:customStyle="1">
    <w:name w:val="Heading 2 Char"/>
    <w:basedOn w:val="709"/>
    <w:uiPriority w:val="9"/>
    <w:rPr>
      <w:rFonts w:ascii="Arial" w:hAnsi="Arial" w:eastAsia="Arial" w:cs="Arial"/>
      <w:sz w:val="34"/>
    </w:rPr>
  </w:style>
  <w:style w:type="character" w:styleId="749" w:customStyle="1">
    <w:name w:val="Заголовок 3 Знак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Title"/>
    <w:basedOn w:val="699"/>
    <w:next w:val="699"/>
    <w:link w:val="757"/>
    <w:uiPriority w:val="10"/>
    <w:qFormat/>
    <w:pPr>
      <w:contextualSpacing/>
      <w:spacing w:before="300"/>
    </w:pPr>
    <w:rPr>
      <w:sz w:val="48"/>
      <w:szCs w:val="48"/>
    </w:rPr>
  </w:style>
  <w:style w:type="character" w:styleId="757" w:customStyle="1">
    <w:name w:val="Название Знак"/>
    <w:basedOn w:val="709"/>
    <w:link w:val="756"/>
    <w:uiPriority w:val="10"/>
    <w:rPr>
      <w:sz w:val="48"/>
      <w:szCs w:val="48"/>
    </w:rPr>
  </w:style>
  <w:style w:type="paragraph" w:styleId="758">
    <w:name w:val="Subtitle"/>
    <w:basedOn w:val="699"/>
    <w:next w:val="699"/>
    <w:link w:val="759"/>
    <w:uiPriority w:val="11"/>
    <w:qFormat/>
    <w:pPr>
      <w:spacing w:before="200"/>
    </w:pPr>
    <w:rPr>
      <w:sz w:val="24"/>
      <w:szCs w:val="24"/>
    </w:rPr>
  </w:style>
  <w:style w:type="character" w:styleId="759" w:customStyle="1">
    <w:name w:val="Подзаголовок Знак"/>
    <w:basedOn w:val="709"/>
    <w:link w:val="758"/>
    <w:uiPriority w:val="11"/>
    <w:rPr>
      <w:sz w:val="24"/>
      <w:szCs w:val="24"/>
    </w:rPr>
  </w:style>
  <w:style w:type="paragraph" w:styleId="760">
    <w:name w:val="Quote"/>
    <w:basedOn w:val="699"/>
    <w:next w:val="699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699"/>
    <w:next w:val="699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paragraph" w:styleId="764">
    <w:name w:val="Header"/>
    <w:basedOn w:val="699"/>
    <w:link w:val="7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5" w:customStyle="1">
    <w:name w:val="Верхний колонтитул Знак"/>
    <w:basedOn w:val="709"/>
    <w:link w:val="764"/>
    <w:uiPriority w:val="99"/>
  </w:style>
  <w:style w:type="paragraph" w:styleId="766">
    <w:name w:val="Footer"/>
    <w:basedOn w:val="699"/>
    <w:link w:val="7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7" w:customStyle="1">
    <w:name w:val="Footer Char"/>
    <w:basedOn w:val="709"/>
    <w:uiPriority w:val="99"/>
  </w:style>
  <w:style w:type="paragraph" w:styleId="768">
    <w:name w:val="Caption"/>
    <w:basedOn w:val="699"/>
    <w:next w:val="69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9" w:customStyle="1">
    <w:name w:val="Нижний колонтитул Знак"/>
    <w:link w:val="766"/>
    <w:uiPriority w:val="99"/>
  </w:style>
  <w:style w:type="table" w:styleId="770">
    <w:name w:val="Table Grid"/>
    <w:basedOn w:val="7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1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2" w:customStyle="1">
    <w:name w:val="Таблица простая 1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Таблица простая 21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 w:customStyle="1">
    <w:name w:val="Таблица простая 3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Таблица простая 4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Таблица простая 5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1 светл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Таблица-сетка 2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Таблица-сетка 3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Таблица-сетка 4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0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2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4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5" w:customStyle="1">
    <w:name w:val="Таблица-сетка 5 тем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2" w:customStyle="1">
    <w:name w:val="Таблица-сетка 6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4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5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6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7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8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9" w:customStyle="1">
    <w:name w:val="Таблица-сетка 7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Список-таблица 1 светлая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Список-таблица 2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0" w:customStyle="1">
    <w:name w:val="Список-таблица 3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Список-таблица 4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Список-таблица 5 тем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Список-таблица 6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3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4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5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6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7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8" w:customStyle="1">
    <w:name w:val="Список-таблица 7 цветная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7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8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9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0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1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2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4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5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6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7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8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9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1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2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3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4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5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96">
    <w:name w:val="footnote text"/>
    <w:basedOn w:val="699"/>
    <w:link w:val="897"/>
    <w:uiPriority w:val="99"/>
    <w:semiHidden/>
    <w:unhideWhenUsed/>
    <w:pPr>
      <w:spacing w:after="40" w:line="240" w:lineRule="auto"/>
    </w:pPr>
    <w:rPr>
      <w:sz w:val="18"/>
    </w:rPr>
  </w:style>
  <w:style w:type="character" w:styleId="897" w:customStyle="1">
    <w:name w:val="Текст сноски Знак"/>
    <w:link w:val="896"/>
    <w:uiPriority w:val="99"/>
    <w:rPr>
      <w:sz w:val="18"/>
    </w:rPr>
  </w:style>
  <w:style w:type="character" w:styleId="898">
    <w:name w:val="footnote reference"/>
    <w:basedOn w:val="709"/>
    <w:uiPriority w:val="99"/>
    <w:unhideWhenUsed/>
    <w:rPr>
      <w:vertAlign w:val="superscript"/>
    </w:rPr>
  </w:style>
  <w:style w:type="paragraph" w:styleId="899">
    <w:name w:val="endnote text"/>
    <w:basedOn w:val="699"/>
    <w:link w:val="900"/>
    <w:uiPriority w:val="99"/>
    <w:semiHidden/>
    <w:unhideWhenUsed/>
    <w:pPr>
      <w:spacing w:after="0" w:line="240" w:lineRule="auto"/>
    </w:pPr>
    <w:rPr>
      <w:sz w:val="20"/>
    </w:rPr>
  </w:style>
  <w:style w:type="character" w:styleId="900" w:customStyle="1">
    <w:name w:val="Текст концевой сноски Знак"/>
    <w:link w:val="899"/>
    <w:uiPriority w:val="99"/>
    <w:rPr>
      <w:sz w:val="20"/>
    </w:rPr>
  </w:style>
  <w:style w:type="character" w:styleId="901">
    <w:name w:val="endnote reference"/>
    <w:basedOn w:val="709"/>
    <w:uiPriority w:val="99"/>
    <w:semiHidden/>
    <w:unhideWhenUsed/>
    <w:rPr>
      <w:vertAlign w:val="superscript"/>
    </w:rPr>
  </w:style>
  <w:style w:type="paragraph" w:styleId="902">
    <w:name w:val="toc 1"/>
    <w:basedOn w:val="699"/>
    <w:next w:val="699"/>
    <w:uiPriority w:val="39"/>
    <w:unhideWhenUsed/>
    <w:pPr>
      <w:spacing w:after="57"/>
    </w:pPr>
  </w:style>
  <w:style w:type="paragraph" w:styleId="903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904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905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906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907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908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909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910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911">
    <w:name w:val="TOC Heading"/>
    <w:uiPriority w:val="39"/>
    <w:unhideWhenUsed/>
  </w:style>
  <w:style w:type="paragraph" w:styleId="912">
    <w:name w:val="table of figures"/>
    <w:basedOn w:val="699"/>
    <w:next w:val="699"/>
    <w:uiPriority w:val="99"/>
    <w:unhideWhenUsed/>
    <w:pPr>
      <w:spacing w:after="0"/>
    </w:pPr>
  </w:style>
  <w:style w:type="paragraph" w:styleId="913">
    <w:name w:val="Body Text"/>
    <w:basedOn w:val="699"/>
    <w:link w:val="914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914" w:customStyle="1">
    <w:name w:val="Основной текст Знак"/>
    <w:basedOn w:val="709"/>
    <w:link w:val="913"/>
    <w:rPr>
      <w:rFonts w:ascii="Times New Roman" w:hAnsi="Times New Roman" w:eastAsia="Times New Roman" w:cs="Times New Roman"/>
      <w:sz w:val="20"/>
      <w:szCs w:val="20"/>
    </w:rPr>
  </w:style>
  <w:style w:type="paragraph" w:styleId="915">
    <w:name w:val="List Paragraph"/>
    <w:basedOn w:val="699"/>
    <w:uiPriority w:val="34"/>
    <w:qFormat/>
    <w:pPr>
      <w:contextualSpacing/>
      <w:ind w:left="720"/>
    </w:pPr>
  </w:style>
  <w:style w:type="paragraph" w:styleId="916">
    <w:name w:val="Balloon Text"/>
    <w:basedOn w:val="699"/>
    <w:link w:val="91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basedOn w:val="709"/>
    <w:link w:val="916"/>
    <w:uiPriority w:val="99"/>
    <w:semiHidden/>
    <w:rPr>
      <w:rFonts w:ascii="Tahoma" w:hAnsi="Tahoma" w:cs="Tahoma"/>
      <w:sz w:val="16"/>
      <w:szCs w:val="16"/>
    </w:rPr>
  </w:style>
  <w:style w:type="character" w:styleId="918" w:customStyle="1">
    <w:name w:val="Основной текст_"/>
    <w:link w:val="919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919" w:customStyle="1">
    <w:name w:val="Основной текст2"/>
    <w:basedOn w:val="699"/>
    <w:link w:val="918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920">
    <w:name w:val="Normal (Web)"/>
    <w:basedOn w:val="69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1">
    <w:name w:val="No Spacing"/>
    <w:uiPriority w:val="1"/>
    <w:qFormat/>
    <w:pPr>
      <w:spacing w:after="0" w:line="240" w:lineRule="auto"/>
    </w:pPr>
  </w:style>
  <w:style w:type="character" w:styleId="922">
    <w:name w:val="Hyperlink"/>
    <w:basedOn w:val="709"/>
    <w:uiPriority w:val="99"/>
    <w:semiHidden/>
    <w:unhideWhenUsed/>
    <w:rPr>
      <w:color w:val="0000ff"/>
      <w:u w:val="single"/>
    </w:rPr>
  </w:style>
  <w:style w:type="character" w:styleId="923" w:customStyle="1">
    <w:name w:val="Заголовок 2 Знак"/>
    <w:basedOn w:val="709"/>
    <w:link w:val="70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24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0D83-10CD-49D1-974E-BEB5AFDB4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230</cp:revision>
  <dcterms:created xsi:type="dcterms:W3CDTF">2022-09-15T06:40:00Z</dcterms:created>
  <dcterms:modified xsi:type="dcterms:W3CDTF">2025-01-20T05:25:55Z</dcterms:modified>
</cp:coreProperties>
</file>