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7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pacing w:val="-5"/>
          <w:sz w:val="28"/>
          <w:szCs w:val="28"/>
          <w:highlight w:val="none"/>
        </w:rPr>
        <w:t xml:space="preserve">Об итогах работы ТФОМС Липецкой области за I квартал 2024 года.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За 3 месяца 2024 года доходы бюджета территориального фонда ОМС сложились в размере 5 131,5 млн. рублей, что составляет 99,3% от утвержденных законом бюджетных назначений и 113,5% к доходам аналогичного периода 2023 года (4 552,4 млн. рублей).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бюджет территориального фонда обязательного медицинского страхования Липецкой области за этот период поступило сре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дств в 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иде: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субвенции из Федерального фонда обязательного медицинского страхования на финансовое обеспечение организации обязательного медицинского страхования в сумме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5 001,4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млн. рублей;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межбюджетных трансфертов, полученных из областного бюджета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страхования, в размере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45,2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млн. рублей.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Рост сопоставимых вышеуказанных доходов фонда для финансового обеспечения реализации территориальной программы ОМС в 1 квартале 2024 года составил 546,0 млн. рублей или 112,1%.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рамках выполнения территориальной программы ОМС в 1 квартале 2024 года принято на оплату медицинской помощи в размере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4 872,7 млн. рублей, что составляет 98,1% от утвержденной стоимости программы и 115,3% к аналогичному показателю прошлого года, в том числе: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стоимость амбулаторной медицинской помощи утверждена в сумме 1 994,3 млн. рублей, фактическое выполнение составило – 2 003,3 млн. рублей или 100,5% от утвержденной и 121,1% к соответствующему показателю прошлого года (1 653,9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млн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 р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ублей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стоимость стационарной медицинской помощи утверждена в сумме 2 122,9 млн. рублей, фактическое выполнение составило 2 056,8 млн. рублей или 96,9% от утвержденной и 111,5% к аналогичному показателю прошлого года (1 844,0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млн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 р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уб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лей);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стоимость медицинской помощи в дневных стационарах </w:t>
      </w:r>
      <w:bookmarkStart w:id="0" w:name="_GoBack"/>
      <w:r>
        <w:rPr>
          <w:rFonts w:ascii="Times New Roman" w:hAnsi="Times New Roman" w:cs="Times New Roman"/>
          <w:sz w:val="28"/>
          <w:szCs w:val="28"/>
          <w:highlight w:val="none"/>
        </w:rPr>
      </w:r>
      <w:bookmarkEnd w:id="0"/>
      <w:r>
        <w:rPr>
          <w:rFonts w:ascii="Times New Roman" w:hAnsi="Times New Roman" w:cs="Times New Roman"/>
          <w:sz w:val="28"/>
          <w:szCs w:val="28"/>
          <w:highlight w:val="none"/>
        </w:rPr>
        <w:t xml:space="preserve">утверждена в сумме 543,5 млн. рублей, фактически выполнено – 508,4 млн. рублей или 93,5% от утвержденной стоимости и 112,0% к соответствующему показателю 2023 года (453,8 млн. рублей);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стоимость скорой медицинской помощи утверждена в сумме 307,3 млн. рублей, фактически выполнено – 304,2 млн. рублей или 99,0% от утвержденной и 110,2% к соответствующему показателю прошлого года (276,0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млн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 р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уб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лей).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Объемы медицинской помощи, установленные Комиссией по разработке территориальной программы ОМС, выполнены медицинскими организациями в 1 квартале текущего года: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стационарной медицинской помощи в целом – на 97,6%;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амбулаторной медицинской помощи в неотложной форме – на 79,4%,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или на 106,4% к уровню прошлого  года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;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по обращениям по поводу заболеваний – на 92,4%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медицинской помощи, оказанной в условиях дневных стационаров - на 73,7%;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скорой медицинской помощи – на 88,7%, или на 97,0% к уровню аналогичного показателя прошлого года.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Стоимость специализированной медицинской помощи, пациентам со злокачественными новообразованиями (ЗНО), застра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хованным на территории Липецкой области за I квартал 2024 года составила 512,3 млн. рублей (108,7% от запланированной суммы – 471,3 млн. рублей), в том числе в стационарных условиях – 239,2 млн. рублей, в условиях дневного стационара – 273,1 млн. рублей.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Средняя стоимость 1 случая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специализированного лечения пациентов с ЗНО, застрахованных и пролеченных на территории Липецкой области за отчетный период составила в целом 106,0 тыс. рублей, в стационарных условиях – 96,5 тыс. рублей, в условиях дневного стационара - 119,1 тыс. рублей.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Стоимость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химиотерапии, проведенной пациентам с ЗНО в I квартале 2024 года составила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329,1 млн. рублей, в том числе в стационарных условиях – 128,7 млн. рублей, в условиях дневного стационара – 200,4 млн. рублей.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структуре объема оказанной медицинской помощи удельный вес химиотерапии составил 75,6% (3 116 госпитализаций), в том числе в стационарных условиях – 61,3% (1 466 госпитализаций), в условиях дневного стационара – 95,5% (1 650 госпитализаций).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результате проведенного медико-экономического контроля по пункту дефекта 1.6.3 (предъявление к оплате медицинской помощи све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рх распределенного объема предоставления медицинской помощи, установленного решением комиссии по разработке территориальной программы ОМС) за I квартал 2024 года от оплаты отклонено 4 125 случаев лечения в стационарных условиях на сумму 143,1 млн. рублей.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98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диспансеризации взрослого населения на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квартал 2024 года установлен в размере 110 366 человек. Фактически осмотрено в рамках диспансеризации – 118 327 человек или 107,2% от утвержденного плана. Предъявлено счетов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 оплате за проведенную диспансеризацию в рамках 1 и 2 этапов на сумму 369 827,6 тыс. рублей, оплачено 369 752,5 тыс. рублей. Из 30 медицинских организаций, проводивших диспансеризацию взрослого населения, не выполнили установленный план – 4, в том числе: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8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«Липецкая городская больница № 3 «Свободный Сокол» - 66,3%;</w:t>
      </w:r>
      <w:r>
        <w:rPr>
          <w:highlight w:val="none"/>
        </w:rPr>
      </w:r>
      <w:r>
        <w:rPr>
          <w:highlight w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Краснинская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районная больница» – 61,0%.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8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профилактических медицинских осмотров взрослого населения на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квартал 2024 года установлен в размере 37 272 человека.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Фактиче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ски осмотрено 34 297 человек на сумму 54 206,3 тыс. рублей, что составило 92,0 % от утвержденного плана. Из 30 медицинских организаций, проводивших профилактические медицинские осмотры взрослого населения, не выполнили установленный план – 17, в том числе:</w:t>
      </w:r>
      <w:r>
        <w:rPr>
          <w:highlight w:val="none"/>
        </w:rPr>
      </w:r>
      <w:r>
        <w:rPr>
          <w:highlight w:val="none"/>
        </w:rPr>
      </w:r>
    </w:p>
    <w:p>
      <w:pPr>
        <w:pStyle w:val="898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«Липецкая городская поликлиника № 7» - 66%;</w:t>
      </w: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8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«Липецкая городская больница № 3 «Свободный Сокол» - 28%;</w:t>
      </w:r>
      <w:r>
        <w:rPr>
          <w:highlight w:val="none"/>
        </w:rPr>
      </w:r>
      <w:r>
        <w:rPr>
          <w:highlight w:val="none"/>
        </w:rPr>
      </w:r>
    </w:p>
    <w:p>
      <w:pPr>
        <w:pStyle w:val="898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Воловская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РБ» – 26%;</w:t>
      </w:r>
      <w:r>
        <w:rPr>
          <w:highlight w:val="none"/>
        </w:rPr>
      </w:r>
      <w:r>
        <w:rPr>
          <w:highlight w:val="none"/>
        </w:rPr>
      </w:r>
    </w:p>
    <w:p>
      <w:pPr>
        <w:pStyle w:val="898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Краснинская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РБ» – 31%;</w:t>
      </w:r>
      <w:r>
        <w:rPr>
          <w:highlight w:val="none"/>
        </w:rPr>
      </w:r>
      <w:r>
        <w:rPr>
          <w:highlight w:val="none"/>
        </w:rPr>
      </w:r>
    </w:p>
    <w:p>
      <w:pPr>
        <w:pStyle w:val="898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«Лев-Толстовская РБ» – 62%.</w:t>
      </w:r>
      <w:r>
        <w:rPr>
          <w:highlight w:val="none"/>
        </w:rPr>
      </w:r>
      <w:r>
        <w:rPr>
          <w:highlight w:val="none"/>
        </w:rPr>
      </w:r>
    </w:p>
    <w:p>
      <w:pPr>
        <w:pStyle w:val="898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профилактических медицинских осмотров несовершеннолетних на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квартал 2024 года установлен в размере 62 681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ч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еловек. Фактически осмотрено 69 433 человека на сумму 182 650,0 тыс. рублей, что составило 111% от утвержденного плана. Из 23 медицинских организаций, проводивших профилактические медицинские осмотры несовершеннолетних, не выполнили установленный план - 9.</w:t>
      </w:r>
      <w:r>
        <w:rPr>
          <w:highlight w:val="none"/>
        </w:rPr>
      </w:r>
      <w:r>
        <w:rPr>
          <w:highlight w:val="none"/>
        </w:rPr>
      </w:r>
    </w:p>
    <w:p>
      <w:pPr>
        <w:pStyle w:val="898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диспансеризации детей-сирот, усыновленных и принятых под опеку, в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квартале 2024 года составил 248 человек. Фактически осмотрено 258 человек на сумму 1 109,8 тыс. рублей, что составило 104% от утвержденного плана.</w:t>
      </w:r>
      <w:r>
        <w:rPr>
          <w:highlight w:val="none"/>
        </w:rPr>
      </w:r>
      <w:r>
        <w:rPr>
          <w:highlight w:val="none"/>
        </w:rPr>
      </w:r>
    </w:p>
    <w:p>
      <w:pPr>
        <w:pStyle w:val="898"/>
        <w:ind w:firstLine="709"/>
        <w:jc w:val="both"/>
        <w:spacing w:line="283" w:lineRule="atLeast"/>
        <w:tabs>
          <w:tab w:val="left" w:pos="6397" w:leader="none"/>
        </w:tabs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диспансеризации детей-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сирот, пребывающих в стационарных учреждениях в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квартале 2024 года составил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387 человек. Фактически осмотрено 400 человек на сумму 1 948,4 тыс. рублей, что составило 103% от утвержденного плана.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Число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пациентов, подлежащих диспансерному наблюдению за отчетный период составило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53 629 человек. Прошли диспансерное наблюдение 63 234 человека или 118% от планового показателя. Всего оплачено реестров счетов в рамках диспансерного наблюдения за I квартал 2024 года на сумму 173,0 млн. рублей.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За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квартал 2024 года медицинскими организациями Липецкой области предъявлено и оплачено счетов и реестров счетов за оказанную медицинскую помощь</w:t>
      </w:r>
      <w:r>
        <w:rPr>
          <w:rFonts w:ascii="Times New Roman" w:hAnsi="Times New Roman" w:cs="Times New Roman"/>
          <w:color w:val="ff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8 030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пациентам, застрахованным на других территориях РФ на общую сумму 91,5 млн. рублей.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Медицинскими организациями Липецкой области иногородним пациентам оказана медицинская помощь по следующим основным профилям:</w:t>
      </w:r>
      <w:r>
        <w:rPr>
          <w:highlight w:val="none"/>
        </w:rPr>
      </w:r>
      <w:r>
        <w:rPr>
          <w:highlight w:val="none"/>
        </w:rPr>
      </w:r>
    </w:p>
    <w:p>
      <w:pPr>
        <w:pStyle w:val="892"/>
        <w:ind w:left="0" w:firstLine="708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акушерство и гинекология – 738 случаев на сумму 5,4 млн. рублей;</w:t>
      </w: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2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кардиология – 225 случаев на сумму 5,4 млн. рублей;</w:t>
      </w: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2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нефрология – 194 случая на сумму 1,7 млн. рублей;</w:t>
      </w:r>
      <w:r>
        <w:rPr>
          <w:highlight w:val="none"/>
        </w:rPr>
      </w:r>
      <w:r>
        <w:rPr>
          <w:highlight w:val="none"/>
        </w:rPr>
      </w:r>
    </w:p>
    <w:p>
      <w:pPr>
        <w:pStyle w:val="892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неврология – 586 случаев на сумму 5,4 млн. рублей;</w:t>
      </w:r>
      <w:r>
        <w:rPr>
          <w:highlight w:val="none"/>
        </w:rPr>
      </w:r>
      <w:r>
        <w:rPr>
          <w:highlight w:val="none"/>
        </w:rPr>
      </w:r>
    </w:p>
    <w:p>
      <w:pPr>
        <w:pStyle w:val="892"/>
        <w:ind w:left="0" w:firstLine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онкология - 147 случаев на сумму 4,0 млн. рублей (в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т.ч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 химиотерапия - 39 случаев на сумму 3,2 млн. рублей);</w:t>
      </w: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2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офтальмология – 1 885 случаев на сумму 29,6 млн. рублей;</w:t>
      </w: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2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травматология и ортопедия – 662 случая на сумму 4,0 млн. рублей;</w:t>
      </w: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2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урология – 176 случаев на сумму 2,0 млн. рублей.</w:t>
      </w:r>
      <w:r>
        <w:rPr>
          <w:highlight w:val="none"/>
        </w:rPr>
      </w:r>
      <w:r>
        <w:rPr>
          <w:highlight w:val="none"/>
        </w:rPr>
      </w:r>
    </w:p>
    <w:p>
      <w:pPr>
        <w:pStyle w:val="890"/>
        <w:ind w:firstLine="709"/>
        <w:jc w:val="both"/>
        <w:spacing w:after="0" w:line="283" w:lineRule="atLeast"/>
        <w:rPr>
          <w:highlight w:val="none"/>
        </w:rPr>
      </w:pPr>
      <w:r>
        <w:rPr>
          <w:sz w:val="28"/>
          <w:szCs w:val="28"/>
          <w:highlight w:val="none"/>
        </w:rPr>
        <w:t xml:space="preserve">За </w:t>
      </w:r>
      <w:r>
        <w:rPr>
          <w:sz w:val="28"/>
          <w:szCs w:val="28"/>
          <w:highlight w:val="none"/>
          <w:lang w:val="en-US"/>
        </w:rPr>
        <w:t xml:space="preserve">I</w:t>
      </w:r>
      <w:r>
        <w:rPr>
          <w:sz w:val="28"/>
          <w:szCs w:val="28"/>
          <w:highlight w:val="none"/>
        </w:rPr>
        <w:t xml:space="preserve"> квартал 2024 года территориальными фондами ОМС других субъектов РФ предъявлено счетов и реестров счетов за оказанную медицинскую помощь</w:t>
      </w:r>
      <w:r>
        <w:rPr>
          <w:sz w:val="28"/>
          <w:szCs w:val="28"/>
          <w:highlight w:val="none"/>
        </w:rPr>
        <w:t xml:space="preserve"> 28 226 пациентам, застрахованным на территории Липецкой области на общую сумму 274,9 млн. рублей, оплачено с учетом остатков на начало года (180,3 млн. рублей) - 274,9 млн. рублей, в том числе по высокотехнологичной медицинской помощи – 32,4 млн. рублей.</w:t>
      </w:r>
      <w:r>
        <w:rPr>
          <w:sz w:val="28"/>
          <w:szCs w:val="28"/>
          <w:highlight w:val="none"/>
        </w:rPr>
        <w:t xml:space="preserve"> Задолженность по счетам, поступивших к оплате в </w:t>
      </w:r>
      <w:r>
        <w:rPr>
          <w:sz w:val="28"/>
          <w:szCs w:val="28"/>
          <w:highlight w:val="none"/>
          <w:lang w:val="en-US"/>
        </w:rPr>
        <w:t xml:space="preserve">I</w:t>
      </w:r>
      <w:r>
        <w:rPr>
          <w:sz w:val="28"/>
          <w:szCs w:val="28"/>
          <w:highlight w:val="none"/>
        </w:rPr>
        <w:t xml:space="preserve"> квартале 2024 года по состоянию на 01.04.2024 года составила 184,3 млн. рублей, в том числе со сроком возникновения свыше 25 календарных дней – 56,5 млн. рублей.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Медицинскими организациями других субъектов Российской Федерации пациентам, застрахованным на территории Липецкой области, медицинская помощь оказана по следующим основным профилям:</w:t>
      </w:r>
      <w:r>
        <w:rPr>
          <w:highlight w:val="none"/>
        </w:rPr>
      </w:r>
      <w:r>
        <w:rPr>
          <w:highlight w:val="none"/>
        </w:rPr>
      </w:r>
    </w:p>
    <w:p>
      <w:pPr>
        <w:pStyle w:val="892"/>
        <w:ind w:left="0" w:firstLine="708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акушерство и гинекология – 584 случая на сумму 5,4 млн. рублей (в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т.ч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 ЭКО - 11 случаев на сумму 1,4 млн. рублей);</w:t>
      </w: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2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инфекционные болезни - 248 случаев на сумму 4,0 млн. рублей;</w:t>
      </w:r>
      <w:r>
        <w:rPr>
          <w:highlight w:val="none"/>
        </w:rPr>
      </w:r>
      <w:r>
        <w:rPr>
          <w:highlight w:val="none"/>
        </w:rPr>
      </w:r>
    </w:p>
    <w:p>
      <w:pPr>
        <w:pStyle w:val="892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кардиология – 378 случаев на сумму 5,4 млн. рублей;</w:t>
      </w: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2"/>
        <w:ind w:left="0" w:firstLine="708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медицинская реабилитация – 113 случаев на сумму 7,5 млн. рублей;</w:t>
      </w: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2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неврология – 367 случаев на сумму 6,7 млн. рублей;</w:t>
      </w:r>
      <w:r>
        <w:rPr>
          <w:highlight w:val="none"/>
        </w:rPr>
      </w:r>
      <w:r>
        <w:rPr>
          <w:highlight w:val="none"/>
        </w:rPr>
      </w:r>
    </w:p>
    <w:p>
      <w:pPr>
        <w:pStyle w:val="892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нейрохирургия – 109 случаев на сумму 11,9 млн. рублей;</w:t>
      </w: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2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онкология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2 599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случаев на сумму 93,0 млн. рублей (в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т.ч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 - </w:t>
      </w:r>
      <w:r>
        <w:rPr>
          <w:highlight w:val="none"/>
        </w:rPr>
      </w:r>
      <w:r>
        <w:rPr>
          <w:highlight w:val="none"/>
        </w:rPr>
      </w:r>
    </w:p>
    <w:p>
      <w:pPr>
        <w:pStyle w:val="892"/>
        <w:ind w:left="0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химиотерапия – 204 случая на сумму 59,5 млн. рублей);</w:t>
      </w: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2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офтальмология – 1 284 случая на сумму 16,5 млн. рублей;</w:t>
      </w:r>
      <w:r>
        <w:rPr>
          <w:highlight w:val="none"/>
        </w:rPr>
      </w:r>
      <w:r>
        <w:rPr>
          <w:highlight w:val="none"/>
        </w:rPr>
      </w:r>
    </w:p>
    <w:p>
      <w:pPr>
        <w:pStyle w:val="892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сердечно-сосудистая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хирургия - 204 случая на сумму 18,0 млн. рублей;</w:t>
      </w:r>
      <w:r>
        <w:rPr>
          <w:highlight w:val="none"/>
        </w:rPr>
      </w:r>
      <w:r>
        <w:rPr>
          <w:highlight w:val="none"/>
        </w:rPr>
      </w:r>
    </w:p>
    <w:p>
      <w:pPr>
        <w:pStyle w:val="892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травматология и ортопедия – 878 случаев на сумму 58,3 млн. рублей;</w:t>
      </w: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2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урология – 179 случаев на сумму 3,1 млн. рублей.</w:t>
      </w: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2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2"/>
        <w:ind w:left="0"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Расходы медицинских организаций за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1 квартал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202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4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год составили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3 866,0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млн. рублей, что выше показателя прошлого года на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4,6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% или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170,9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млн. рублей (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3 695,1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млн. рублей), в том числе: </w:t>
      </w:r>
      <w:r>
        <w:rPr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- на оплату труда с начислениями –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2 507,7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млн. рублей, что составляет 1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09,4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% от уровня прошлого года (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2 292,3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млн. рублей);</w:t>
      </w:r>
      <w:r>
        <w:rPr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оплата за медикаменты –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749,0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млн. рублей, что ниже уровня прошлого года (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796,9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млн. рублей);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оплата за продукты питания –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44,8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млн. рублей, что ниже показателя прошлого года на 3,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9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% (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46,6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млн. рублей);</w:t>
      </w:r>
      <w:r>
        <w:rPr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расходы на арендную плату за пользование имуществом – 294,8 млн. рублей, что выше уровня прошлого года на 6,4% (277,0 млн. рублей); </w:t>
      </w:r>
      <w:r>
        <w:rPr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оплата коммунальных услуг –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184,1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млн. рублей, что выше уровня прошлого года на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6,6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% (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172,7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млн. рублей).</w:t>
      </w:r>
      <w:r>
        <w:rPr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Таким образом, наибольшую долю в структуре расходов занимают расходы на заработную плату с начислениями – 6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4,9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%, при этом темпы роста данных расходов в сравнении с предыдущим периодом превышают темпы роста по другим видам расходов.</w:t>
      </w:r>
      <w:r>
        <w:rPr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Средняя заработная плата работников государственных медицинских организаций Липецкой области в системе ОМС в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квартале 2024 года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составила 44,37 тыс. рублей, что на 12,8% выше аналогичного показателя прошлого года (39,34 тыс. рублей) в том числе: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по амбулаторно-поликлиническому звену средняя зарплата медицинских работников по сравнению с аналогичным периодом прошлого года возросла на 10,3% и составила 45,92 тыс. рублей (2023 год – 41,64 тыс. рублей);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в стационарном звене рост средней зарплаты медицинских работников составил 11,2 % - 58,13 тыс. рублей (2023 год – 52,43 тыс. рублей);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в подразделениях скорой медицинской помощи средняя зарплата медицинских работников из средств ОМС составила 54,16 тыс. рублей, рост – 15,2 % (2023 год – 47,00 тыс. рублей).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отчетном периоде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средняя заработная плата по категориям персонала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 сравнению с аналогичным периодом прошлого года сложилась следующим образом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: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по врачебным кадрам средняя зарплата увеличилась на 8,5% и составила 79,27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(73,09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2023 году)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по среднему медперсоналу рост средней зарплаты составил 11,5 % - 44,14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 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рублей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(39,57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2023 году)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по младшему медицинскому персоналу средняя зарплата увеличилась на 14,5% и составила 42,45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(36,98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2023 году)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по прочему персоналу рост средней зарплаты составил 17,0% - 28,22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 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рублей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(24,11 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2023 году)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по АУП средняя зарплата увеличилась на 14,2 % и составила 65,45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 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рублей (57,29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2023 году)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Во исполнение пункта 7.1 части 2 статьи 20 Федерального закона № 326-Ф3 «Об обязательном медицинском страховании», Правил использования средств нормированного страхового запаса, утвержден на 2024 год План мероприятий по организации дополнительного профе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на сумму 3 687,8 тыс. рублей, в том числе на дополнительное профессиональное образование медицинских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работников – 1 319,4 тыс. рублей, на проведение ремонта медицинского оборудования – 2 368,4 тыс. рублей. Подписаны соглашения с 15 меди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цинскими организациями Липецкой области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проведению ремонта медицинского оборудования. </w:t>
      </w: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 целью реализации Федерального закона № 326-ФЗ «Об обязательном медицинском страховании в Российской Федерации» (пункта 4 части 6 статьи 26) для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софинансирования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расходов медицинских организаций на оплату труда врачей и среднего медицинского персонала, распоряжением Правительства Российской Федерации для Липецкой области в 2024 году предусмотрено – 29,1 млн. рублей.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квартала 2024 года </w:t>
      </w:r>
      <w:r>
        <w:rPr>
          <w:rFonts w:ascii="Times New Roman" w:hAnsi="Times New Roman"/>
          <w:sz w:val="28"/>
          <w:szCs w:val="28"/>
          <w:highlight w:val="none"/>
        </w:rPr>
        <w:t xml:space="preserve">в медицинские организации в соответствии с их заявками было направлено 3,6 млн. рублей. Из средств нормированного страхового запаса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квартале 2024 года </w:t>
      </w:r>
      <w:r>
        <w:rPr>
          <w:rFonts w:ascii="Times New Roman" w:hAnsi="Times New Roman"/>
          <w:sz w:val="28"/>
          <w:szCs w:val="28"/>
          <w:highlight w:val="none"/>
        </w:rPr>
        <w:t xml:space="preserve">осуществлено </w:t>
      </w:r>
      <w:r>
        <w:rPr>
          <w:rFonts w:ascii="Times New Roman" w:hAnsi="Times New Roman"/>
          <w:sz w:val="28"/>
          <w:szCs w:val="28"/>
          <w:highlight w:val="none"/>
        </w:rPr>
        <w:t xml:space="preserve">финансирование заработной платы 21 медицинского работника, (в том числе 12 врачей и 9 человек среднего медицинского персонала).</w:t>
      </w:r>
      <w:r>
        <w:rPr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В соответствии с Федеральным законом от 29.11.2010 № 326-ФЗ «Об обязательном медицинском страховании в Российской Федерации» и действующими нормативными документами в обл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асти обязательного медицинского страхования, ТФОМС Липецкой области осуществляет контроль использования финансовых средств обязательного медицинского страхования медицинскими организациями и страховыми медицинскими организациями путем проведения проверок.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Основанием для проведения проверки являлся приказ директора ТФОМС Липецкой области, который определял тему проверки, проверяемый период, руководителя комиссии, состав комиссии, сроки проведения проверки, форму проверки.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0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В план проверок на 1 квартал 2024 года включены 12 медицинских организаций и 2 страховые  медицинские организации. 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За 1 квартал 2024  года проведено 14 проверок, в том числе: в медицинских организациях - 12плановые проверки, в страховых медицинских организациях - 2 плановые комплексные проверки. 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Остаток не восстановленных средств ОМС по состоянию на 01.01.2024 составил 3 970,9 тыс. рублей.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По итогам проверок за 1 квартал 2024 года в медицинских организациях выявлено нецелевое использование средств обязательного медицинского страхования на сумму 1 023,6 тыс. рублей.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«Оплата видов медицинской помощи, не включенных в территориальную программу ОМС» - 34,8 тыс. рублей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 или 3,4% от выявленной суммы нецелевого использования средств ОМС: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- 34,8 тыс. рублей.- 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обучение по темам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 не связанным с оказанием медицинской помощи в рамках территориальной программы  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«Оплата расходов, не включенных в тарифы на оплату медицинской помощи в рамках территориальной программы ОМС» - 34,2 тыс. рублей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 или 3,4</w:t>
      </w:r>
      <w:r>
        <w:rPr>
          <w:rFonts w:ascii="Times New Roman" w:hAnsi="Times New Roman" w:eastAsia="Times New Roman" w:cs="Times New Roman"/>
          <w:b w:val="0"/>
          <w:bCs w:val="0"/>
          <w:color w:val="ff0000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% от выявленной суммы нецелевого использования средств ОМС: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- 34,2 тыс. рублей – выплата материальной помощи работникам медицинской организации;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«Расходование сре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дств св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ерх норм, установленных соответствующими министерствами, ведомствами – 385,8 тыс. рублей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или 37,6% от выявленной суммы нецелевого использования средств ОМС»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- 69,3 тыс. рублей – выплаты стимулирующего характера с учетом начислений, произведенные с превышением установленных норм;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- 316,5 тыс. рублей - выплата компенсации при увольнении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превышающая установленный размер.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-284" w:firstLine="992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«Расходование сре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дств пр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и отсутствии подтверждающих документов» -568,8 тыс. рублей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или 55,6</w:t>
      </w:r>
      <w:r>
        <w:rPr>
          <w:rFonts w:ascii="Times New Roman" w:hAnsi="Times New Roman" w:eastAsia="Times New Roman" w:cs="Times New Roman"/>
          <w:b w:val="0"/>
          <w:bCs w:val="0"/>
          <w:color w:val="ff0000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% от выявленной суммы нецелевого использования средств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 ОМС: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- 486,9 тыс. руб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лей - 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выплата заработной платы, с учетом начислений, при отсутствии сертификата специалиста;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</w:p>
    <w:p>
      <w:pPr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ab/>
        <w:t xml:space="preserve">- 81,9 тыс. рублей – выплата компенсации, не подтвержденная документально.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ab/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</w:p>
    <w:p>
      <w:pPr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ab/>
        <w:t xml:space="preserve">Возвращено в бюджет ТФОМС Липецкой области в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соответствии с требованиями Федерального закона от 29.11.2010 № 326-ФЗ «Об обязательном медицинском страховании в Российской Федерации» - 1 596,8. тыс. рублей.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ab/>
        <w:t xml:space="preserve">Уменьшено в отчетном периоде сумм выявленного нецелевого использования средств по решениям судебных органов – 889,0 тыс. рублей.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ab/>
        <w:t xml:space="preserve">По состоянию на 01.04.2024 остаток невосстановленных медицинскими организациями средств ОМС составляет 2 508,5 тыс. рублей.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ab/>
        <w:t xml:space="preserve">Сумма предъявленных штрафов, пеней по результатам проверок деятельности страховых медицинских организаций и медицинских организаций в сфере обязательного медицинского страхования за 1 квартал 2024 составила 175,9 тыс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 рублей, в том числе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: 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- медицинским организациям – 117,0 тыс. рублей, 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- страховым медицинским организациям – 58,9 тыс. рублей. 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По состоянию на 01.01 2024 года  задолженность по штрафам и пени – 474,3 тыс. рублей (медицинские организации – 364,8 тыс. рублей, страховые медицинские организации – 109,5 тыс. рублей.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Получено в отчетном периоде штрафов, пеней по результатам проверок 144,6 тыс. рублей: 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- медицинским организациям – 144,6 тыс. рублей.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Уменьшено в отчетном периоде сумм штрафов по решениям судебных органов - 88,9 тыс. рублей.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По состоянию на 01.04.2024 года задолженность по штрафам и пени – 416,7 тыс. рублей (медицинские организации – 248,3 тыс. рублей, страховые медицинские организации – 168,4 тыс. рублей).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Отсутствие внутреннего контроля объемов, сроков, качества и условий предоставления медицинской помощи влияет на образование финансовых потерь в медицинских организациях.</w:t>
      </w:r>
      <w:r>
        <w:rPr>
          <w:highlight w:val="none"/>
        </w:rPr>
      </w:r>
      <w:r>
        <w:rPr>
          <w:rFonts w:ascii="Calibri" w:hAnsi="Calibri" w:eastAsia="Calibri" w:cs="Times New Roman"/>
          <w:highlight w:val="none"/>
        </w:rPr>
      </w:r>
    </w:p>
    <w:p>
      <w:pPr>
        <w:contextualSpacing/>
        <w:ind w:firstLine="709"/>
        <w:jc w:val="both"/>
        <w:spacing w:after="0" w:line="283" w:lineRule="atLeast"/>
        <w:rPr>
          <w:rFonts w:ascii="Calibri" w:hAnsi="Calibri" w:eastAsia="Calibri" w:cs="Times New Roman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По результатам проведенных за 1 квартал 2024 года проверок медицинских организаций финансовые потери в результате частичной или полной неоплаты медицинской помощи составили 2 5372,6 тыс. рублей.</w:t>
      </w:r>
      <w:r>
        <w:rPr>
          <w:highlight w:val="none"/>
        </w:rPr>
      </w:r>
      <w:r>
        <w:rPr>
          <w:rFonts w:ascii="Calibri" w:hAnsi="Calibri" w:eastAsia="Calibri" w:cs="Times New Roman"/>
          <w:highlight w:val="none"/>
        </w:rPr>
      </w:r>
    </w:p>
    <w:p>
      <w:pPr>
        <w:contextualSpacing/>
        <w:ind w:firstLine="709"/>
        <w:jc w:val="both"/>
        <w:spacing w:after="0" w:line="283" w:lineRule="atLeast"/>
        <w:rPr>
          <w:rFonts w:ascii="Calibri" w:hAnsi="Calibri" w:eastAsia="Calibri" w:cs="Times New Roman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В ходе контрольных мероприятий за 1 квартал2024 года были установлены нарушения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риведшие к неэффективному использованию средств ОМС на сумму 6 285,3 тыс. рублей:</w:t>
      </w:r>
      <w:r>
        <w:rPr>
          <w:highlight w:val="none"/>
        </w:rPr>
      </w:r>
      <w:r>
        <w:rPr>
          <w:rFonts w:ascii="Calibri" w:hAnsi="Calibri" w:eastAsia="Calibri" w:cs="Times New Roman"/>
          <w:highlight w:val="none"/>
        </w:rPr>
      </w:r>
    </w:p>
    <w:p>
      <w:pPr>
        <w:ind w:left="0" w:right="0" w:firstLine="709"/>
        <w:jc w:val="both"/>
        <w:spacing w:after="0" w:line="283" w:lineRule="atLeast"/>
        <w:tabs>
          <w:tab w:val="left" w:pos="0" w:leader="none"/>
        </w:tabs>
        <w:rPr>
          <w:rFonts w:ascii="Calibri" w:hAnsi="Calibri" w:eastAsia="Calibri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zh-CN"/>
        </w:rPr>
        <w:t xml:space="preserve">- в виде оплаты штрафных санкций по предписаниям страховых медицинских организаций по результатам медико-экономического контроля, медико-экономической экспертизы, экспертизы качества медицинской помощи –6 221,4 тыс. рублей;</w:t>
      </w:r>
      <w:r>
        <w:rPr>
          <w:highlight w:val="none"/>
        </w:rPr>
      </w:r>
      <w:r>
        <w:rPr>
          <w:rFonts w:ascii="Calibri" w:hAnsi="Calibri" w:eastAsia="Calibri" w:cs="Times New Roman"/>
          <w:highlight w:val="none"/>
        </w:rPr>
      </w:r>
    </w:p>
    <w:p>
      <w:pPr>
        <w:ind w:firstLine="708"/>
        <w:jc w:val="both"/>
        <w:spacing w:after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zh-CN"/>
        </w:rPr>
        <w:t xml:space="preserve">- лекарственные средства с истекшим сроком годности, находящиеся в карантинной зоне или переданные на уничтожение – 63,9 тыс. рублей.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83" w:lineRule="atLeast"/>
        <w:rPr>
          <w:rFonts w:ascii="Calibri" w:hAnsi="Calibri" w:eastAsia="Calibri" w:cs="Times New Roman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С целью исключения случаев неэффективного использования денежных средств ОМС административно-управленческому составу медицинских организаций необходимо:</w:t>
      </w:r>
      <w:r>
        <w:rPr>
          <w:highlight w:val="none"/>
        </w:rPr>
      </w:r>
      <w:r>
        <w:rPr>
          <w:rFonts w:ascii="Calibri" w:hAnsi="Calibri" w:eastAsia="Calibri" w:cs="Times New Roman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в целях недопущения штрафных санкций по предписаниям страховых медицинских организаций усилить внутренний контроль объемов, сроков, качества и условий предоставления медицинской помощи;</w:t>
      </w:r>
      <w:r>
        <w:rPr>
          <w:highlight w:val="none"/>
        </w:rPr>
      </w:r>
      <w:r>
        <w:rPr>
          <w:rFonts w:ascii="Calibri" w:hAnsi="Calibri" w:eastAsia="Calibri" w:cs="Times New Roman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осуществлять в постоянном режиме контроль учета медикаментов, химических реактивов и расходных материалов и использовать эти данные для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формирования рациональных запасов медикаментов, а также своевременно принимать меры по реализации лекарственных средств с истекающим сроком годности.</w:t>
      </w:r>
      <w:r>
        <w:rPr>
          <w:highlight w:val="none"/>
        </w:rPr>
      </w:r>
      <w:r>
        <w:rPr>
          <w:rFonts w:ascii="Calibri" w:hAnsi="Calibri" w:eastAsia="Calibri" w:cs="Times New Roman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Выявленные при проверках нарушения приводят к временному отвлечению средств обязательного медицинского страхования, снижению финансовой устойчивости и образованию кредиторской задолженности в медицинских организациях.</w:t>
      </w:r>
      <w:r>
        <w:rPr>
          <w:highlight w:val="none"/>
        </w:rPr>
      </w:r>
      <w:r>
        <w:rPr>
          <w:rFonts w:ascii="Calibri" w:hAnsi="Calibri" w:eastAsia="Calibri" w:cs="Times New Roman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Исключение в медицинских организациях фактов нецелевого и неэффективного использования средств ОМС является дополнительным источником для своевременных расчетов с поставщиками за материальные ценности, и как следствие - снижению кредиторской задолженности.</w:t>
      </w:r>
      <w:r>
        <w:rPr>
          <w:highlight w:val="none"/>
        </w:rPr>
      </w:r>
      <w:r>
        <w:rPr>
          <w:rFonts w:ascii="Calibri" w:hAnsi="Calibri" w:eastAsia="Calibri" w:cs="Times New Roman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zh-CN"/>
        </w:rPr>
        <w:t xml:space="preserve">В целях недопущения неэффективного и нецелевого использования средств обязательного медицинского страхования по итогам проверок медицинским организациям рекомендовано осуществлять внутренний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zh-CN"/>
        </w:rPr>
        <w:t xml:space="preserve">контроль за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zh-CN"/>
        </w:rPr>
        <w:t xml:space="preserve"> соблюдением финансово-хозяйственной деятельности в соответствии с требованиями, установленными законодательством Российской Федерации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zh-CN"/>
        </w:rPr>
        <w:t xml:space="preserve">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Просроченная кредиторская задолженность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государственных медицинских организаций перед поставщиками за поставленные материальные ценности и оказанные услуги в течение квартала сократилась на 20%, на 01.01.2024 она составляла 52 203,9 тыс. рублей, на 01.04.2024 она составила 41 831,9 тыс. рублей.</w:t>
      </w: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рамках контроля объемов, сроков, качества и условий оказания медицин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ской помощи, оказанной медицинскими организациями Липецкой области, спе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циалистами СМО в отчетном периоде проводи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лись экспертные мероприятия в соответствии с действующими нормативными ак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тами.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 период январь-март  2024 года подвергнуто экспертизам 29,9 тыс. страховых случаев медицинской помощи, оказанных гражданам, застрахованным на территории Липецкой области, в том числе в ходе плановых проверок - 7,1 тыс.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 проведении медико-экономических экспертиз (МЭЭ) за январь-март 2024 года было проанализировано 23,3 тыс. случаев оказания медицинской помощи, в том числе при целевых проверках 17,5 тыс. случаев. 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результате МЭЭ был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установлен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8 1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01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нарушени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(35%), отмечается увеличение количества дефектов в сравнении с аналогичным периодом 2023 года, когда данный по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казатель составлял 15% (в 2022 - 9%). 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Количество нарушений по причине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непредставление первичной медицинской документации, подтверждающей факт оказания ЗЛ медицинской помощи», составило – 612 или 8% от общего количества нарушений, по сравнению с аналогичным периодом 2023 года количество данных нарушений уменьшилось в 6,5 раз.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Количество нарушений по причине «несоответствие данных первичной медицинской документации данным реестра счетов», составило – 3338 или 41% от общего количества нарушений, что в 3,3 раза больше, чем в аналогичном периоде 2023 года.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Количество нарушений по причине «отсутствие в документации информированного добровольного согласия застрахованного лица на медицинское вмешательство»,  составило – 3 657 или 45% от общего количества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нарушений, что в 1,8 раза больше, чем в аналогичном периоде 2023 года. 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ходе экспертиз  качества медицинской помощи (ЭКМП) было проанализировано 6,6 тыс. слу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чаев оказания медицинской помощи, в том числе при целевых проверках – 5,3 тыс. случаев.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результате ЭКМП был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установлен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2 323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нарушени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(35%), отме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чается увеличение в сравнении с аналогичным периодом 2023 года, когда данный показатель составлял 29%.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Наибольшее количество нарушений – «невыполнение, несвоевременное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или ненадлежащее выполнение необходимых пациенту диагностических и (или) лечебных мероприятий, оперативных вмешательств в соответствии с порядками оказания медицинской помощи, на основе клинических рекомендаций и с учетом стандартов медицинской помощи» -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1 318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или 5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% от общего количества нарушений, в том числе при проведении диспансеризации определенных групп взрослого населения –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523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(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0%).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 проведении ЭКМП установлены нарушения из раздела 2 Перечня оснований для отказа в оплате медицинской помощи (уменьшения в оплате медицинской помощи), количество их составило –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505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или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38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% от общего количества нарушений, в том числе: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 «несоответствие данных первичной медицинской документации данным реестра счетов», составило –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193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или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38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% от количества нарушений из раздела 2;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 «отсутствие в документации информированного добровольного согласия застрахованного лица на медицинское вмешательство», составило –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166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или 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% от количества нарушений из раздела 2;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 «непредставление первичной медицинской документации, подтверждающей факт оказания ЗЛ медицинской помощи», составило –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63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или 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% от общего количества нарушений из раздела 2.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 итогам МЭЭ и ЭКМП к медицинским организациям применены финан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совые санкции в размере 25,3 млн. рублей (2023 год – 31,5 млн. рублей).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ff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none"/>
        </w:rPr>
      </w:r>
      <w:r>
        <w:rPr>
          <w:highlight w:val="none"/>
        </w:rPr>
      </w: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I квартале 2024 года проведено 42 967 контрольно-экспертных мероприятия по случаям оказания медицинской помощи пациентам с подозрением на злокачественные новообразования (ЗНО) и/или с подтвержденным диагнозом ЗНО, в том числе 4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2 263 медико-экономического контроля, 687 медико-экономических экспертиз, 17 экспертиз качества медицинской помощи. По результатам контрольно-экспертных мероприятий выявлено 4 696 дефектов, в том числе 3 435 по страховым случаям с применением химиотерапии.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7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 период январь-март 2024 года специалистами ТФОМС Липецкой об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ласти и экспертами качества медицинской помощи, входящими в реестр экспер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тов качества медицинской помощи, привлекаемыми на договорной основе, прово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дились повторные медико-экономические экспертизы и  экспертизы качества медицинской помощи.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70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Количество страховых случаев, подвергшихся повторной МЭЭ, составило 1086, количество страховых случаев, подвергшихся повторной ЭКМП, составило 496, что соответствует требованиям приказа ФФОМС от 19.03.2021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№ 231н «Об утверждении Порядка проведения контроля объемов, сроков, ка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чества и условий предоставления медицинской помощи по обязательному медицинскому страхованию, а также ее финансового обеспечения».</w:t>
      </w:r>
      <w:r>
        <w:rPr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ind w:firstLine="360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  <w:lang w:eastAsia="ru-RU"/>
        </w:rPr>
        <w:t xml:space="preserve">Установлены нарушения в 28 случаях (1,8%), допущ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  <w:lang w:eastAsia="ru-RU"/>
        </w:rPr>
        <w:t xml:space="preserve">енные медицинскими организациями, но не выявленные  СМО при первичном проведении экспертиз. По итогам повторных экспертиз к СМО применены штрафные санкций в размере 5 816,16 рублей - 10% от суммы, необоснованно оплаченной медицинским организациям.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 январь-март 2024 года ТФОМС и СМО было рассмотрено 21 556 обраще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ний. В сравнении с аналогичным периодом  2023 года количество обращений уменьшилось на 8,9 тыс.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Всего обращений за разъяснениями, в том числе заявлений, 24 510, наибольшее количество по во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просам выбора и/или замены СМО, включение в единый регистр застрахованных, обеспечение выдачи полисов, о переоформлении полиса ОМС — 18 498 или 86% от общего количества.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 период январь-март 2024 года поступило 46 жалоб или 0,2% от общего числа обращений; в 2023 году данный показатель 52 (0,2%).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Все жалобы рассмотрены в досудебном порядке, в установленные законом сроки, обоснованными признано 25 (54%), за аналогичный период  2023 года 32 жалобы (62%) были признаны обоснованными.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Структура обоснованных жалоб по причинам сложилась следующим обра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зом: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numPr>
          <w:ilvl w:val="0"/>
          <w:numId w:val="12"/>
        </w:numPr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18 жалоб (72%) на качество медицинской помощи;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numPr>
          <w:ilvl w:val="0"/>
          <w:numId w:val="12"/>
        </w:numPr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6 жалоб (24%) на недостоверные сведения об оказанных медицинских услугах;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numPr>
          <w:ilvl w:val="0"/>
          <w:numId w:val="12"/>
        </w:numPr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 жалоба (4%) на отказ в оказании медицинской помощи по программам ОМС.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 августа 2022 года страховыми медицинскими организациями в соответствии с требованиями приказа Минздрава России от 19.07.2022 № 495 «Об утверждении методики расчета дополнительного показателя «Оценка общественного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мнения по удовлетворенности населения медицинской помощью, %» федерального проекта «Модернизация первичного звена Российской Федерации» ежемесячно проводится опрос населения по удовлетворенности населения медицинской помощью. Процент удовлетворенности за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 квартал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год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составил 5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% (плановый показатель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52,2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%).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709" w:right="850" w:bottom="709" w:left="1418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9">
    <w:multiLevelType w:val="hybridMultilevel"/>
    <w:lvl w:ilvl="0">
      <w:start w:val="7"/>
      <w:numFmt w:val="decimal"/>
      <w:isLgl w:val="false"/>
      <w:suff w:val="tab"/>
      <w:lvlText w:val="%1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7"/>
  </w:num>
  <w:num w:numId="5">
    <w:abstractNumId w:val="9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5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 w:default="1">
    <w:name w:val="Normal"/>
    <w:qFormat/>
  </w:style>
  <w:style w:type="paragraph" w:styleId="677">
    <w:name w:val="Heading 1"/>
    <w:basedOn w:val="676"/>
    <w:next w:val="676"/>
    <w:link w:val="724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8">
    <w:name w:val="Heading 2"/>
    <w:basedOn w:val="676"/>
    <w:next w:val="676"/>
    <w:link w:val="900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79">
    <w:name w:val="Heading 3"/>
    <w:basedOn w:val="676"/>
    <w:next w:val="676"/>
    <w:link w:val="726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0">
    <w:name w:val="Heading 4"/>
    <w:basedOn w:val="676"/>
    <w:next w:val="676"/>
    <w:link w:val="727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1">
    <w:name w:val="Heading 5"/>
    <w:basedOn w:val="676"/>
    <w:next w:val="676"/>
    <w:link w:val="728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676"/>
    <w:next w:val="676"/>
    <w:link w:val="729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3">
    <w:name w:val="Heading 7"/>
    <w:basedOn w:val="676"/>
    <w:next w:val="676"/>
    <w:link w:val="73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4">
    <w:name w:val="Heading 8"/>
    <w:basedOn w:val="676"/>
    <w:next w:val="676"/>
    <w:link w:val="73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5">
    <w:name w:val="Heading 9"/>
    <w:basedOn w:val="676"/>
    <w:next w:val="676"/>
    <w:link w:val="732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6" w:default="1">
    <w:name w:val="Default Paragraph Font"/>
    <w:uiPriority w:val="1"/>
    <w:semiHidden/>
    <w:unhideWhenUsed/>
  </w:style>
  <w:style w:type="table" w:styleId="6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8" w:default="1">
    <w:name w:val="No List"/>
    <w:uiPriority w:val="99"/>
    <w:semiHidden/>
    <w:unhideWhenUsed/>
  </w:style>
  <w:style w:type="table" w:styleId="689" w:customStyle="1">
    <w:name w:val="Plain Table 1"/>
    <w:basedOn w:val="68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 w:customStyle="1">
    <w:name w:val="Plain Table 2"/>
    <w:basedOn w:val="68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 w:customStyle="1">
    <w:name w:val="Plain Table 3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 w:customStyle="1">
    <w:name w:val="Plain Table 4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 w:customStyle="1">
    <w:name w:val="Plain Table 5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 w:customStyle="1">
    <w:name w:val="Grid Table 1 Light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 w:customStyle="1">
    <w:name w:val="Grid Table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 w:customStyle="1">
    <w:name w:val="Grid Table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 w:customStyle="1">
    <w:name w:val="Grid Table 4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8" w:customStyle="1">
    <w:name w:val="Grid Table 5 Dark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699" w:customStyle="1">
    <w:name w:val="Grid Table 6 Colorful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00" w:customStyle="1">
    <w:name w:val="Grid Table 7 Colorful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01" w:customStyle="1">
    <w:name w:val="List Table 1 Light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 w:customStyle="1">
    <w:name w:val="List Table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03" w:customStyle="1">
    <w:name w:val="List Table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List Table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List Table 5 Dark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06" w:customStyle="1">
    <w:name w:val="List Table 6 Colorful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07" w:customStyle="1">
    <w:name w:val="List Table 7 Colorful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character" w:styleId="708" w:customStyle="1">
    <w:name w:val="Heading 1 Char"/>
    <w:basedOn w:val="686"/>
    <w:uiPriority w:val="9"/>
    <w:rPr>
      <w:rFonts w:ascii="Arial" w:hAnsi="Arial" w:eastAsia="Arial" w:cs="Arial"/>
      <w:sz w:val="40"/>
      <w:szCs w:val="40"/>
    </w:rPr>
  </w:style>
  <w:style w:type="character" w:styleId="709" w:customStyle="1">
    <w:name w:val="Heading 3 Char"/>
    <w:basedOn w:val="686"/>
    <w:uiPriority w:val="9"/>
    <w:rPr>
      <w:rFonts w:ascii="Arial" w:hAnsi="Arial" w:eastAsia="Arial" w:cs="Arial"/>
      <w:sz w:val="30"/>
      <w:szCs w:val="30"/>
    </w:rPr>
  </w:style>
  <w:style w:type="character" w:styleId="710" w:customStyle="1">
    <w:name w:val="Heading 4 Char"/>
    <w:basedOn w:val="686"/>
    <w:uiPriority w:val="9"/>
    <w:rPr>
      <w:rFonts w:ascii="Arial" w:hAnsi="Arial" w:eastAsia="Arial" w:cs="Arial"/>
      <w:b/>
      <w:bCs/>
      <w:sz w:val="26"/>
      <w:szCs w:val="26"/>
    </w:rPr>
  </w:style>
  <w:style w:type="character" w:styleId="711" w:customStyle="1">
    <w:name w:val="Heading 5 Char"/>
    <w:basedOn w:val="686"/>
    <w:uiPriority w:val="9"/>
    <w:rPr>
      <w:rFonts w:ascii="Arial" w:hAnsi="Arial" w:eastAsia="Arial" w:cs="Arial"/>
      <w:b/>
      <w:bCs/>
      <w:sz w:val="24"/>
      <w:szCs w:val="24"/>
    </w:rPr>
  </w:style>
  <w:style w:type="character" w:styleId="712" w:customStyle="1">
    <w:name w:val="Heading 6 Char"/>
    <w:basedOn w:val="686"/>
    <w:uiPriority w:val="9"/>
    <w:rPr>
      <w:rFonts w:ascii="Arial" w:hAnsi="Arial" w:eastAsia="Arial" w:cs="Arial"/>
      <w:b/>
      <w:bCs/>
      <w:sz w:val="22"/>
      <w:szCs w:val="22"/>
    </w:rPr>
  </w:style>
  <w:style w:type="character" w:styleId="713" w:customStyle="1">
    <w:name w:val="Heading 7 Char"/>
    <w:basedOn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4" w:customStyle="1">
    <w:name w:val="Heading 8 Char"/>
    <w:basedOn w:val="686"/>
    <w:uiPriority w:val="9"/>
    <w:rPr>
      <w:rFonts w:ascii="Arial" w:hAnsi="Arial" w:eastAsia="Arial" w:cs="Arial"/>
      <w:i/>
      <w:iCs/>
      <w:sz w:val="22"/>
      <w:szCs w:val="22"/>
    </w:rPr>
  </w:style>
  <w:style w:type="character" w:styleId="715" w:customStyle="1">
    <w:name w:val="Heading 9 Char"/>
    <w:basedOn w:val="686"/>
    <w:uiPriority w:val="9"/>
    <w:rPr>
      <w:rFonts w:ascii="Arial" w:hAnsi="Arial" w:eastAsia="Arial" w:cs="Arial"/>
      <w:i/>
      <w:iCs/>
      <w:sz w:val="21"/>
      <w:szCs w:val="21"/>
    </w:rPr>
  </w:style>
  <w:style w:type="character" w:styleId="716" w:customStyle="1">
    <w:name w:val="Title Char"/>
    <w:basedOn w:val="686"/>
    <w:uiPriority w:val="10"/>
    <w:rPr>
      <w:sz w:val="48"/>
      <w:szCs w:val="48"/>
    </w:rPr>
  </w:style>
  <w:style w:type="character" w:styleId="717" w:customStyle="1">
    <w:name w:val="Subtitle Char"/>
    <w:basedOn w:val="686"/>
    <w:uiPriority w:val="11"/>
    <w:rPr>
      <w:sz w:val="24"/>
      <w:szCs w:val="24"/>
    </w:rPr>
  </w:style>
  <w:style w:type="character" w:styleId="718" w:customStyle="1">
    <w:name w:val="Quote Char"/>
    <w:uiPriority w:val="29"/>
    <w:rPr>
      <w:i/>
    </w:rPr>
  </w:style>
  <w:style w:type="character" w:styleId="719" w:customStyle="1">
    <w:name w:val="Intense Quote Char"/>
    <w:uiPriority w:val="30"/>
    <w:rPr>
      <w:i/>
    </w:rPr>
  </w:style>
  <w:style w:type="character" w:styleId="720" w:customStyle="1">
    <w:name w:val="Header Char"/>
    <w:basedOn w:val="686"/>
    <w:uiPriority w:val="99"/>
  </w:style>
  <w:style w:type="character" w:styleId="721" w:customStyle="1">
    <w:name w:val="Caption Char"/>
    <w:uiPriority w:val="99"/>
  </w:style>
  <w:style w:type="character" w:styleId="722" w:customStyle="1">
    <w:name w:val="Footnote Text Char"/>
    <w:uiPriority w:val="99"/>
    <w:rPr>
      <w:sz w:val="18"/>
    </w:rPr>
  </w:style>
  <w:style w:type="character" w:styleId="723" w:customStyle="1">
    <w:name w:val="Endnote Text Char"/>
    <w:uiPriority w:val="99"/>
    <w:rPr>
      <w:sz w:val="20"/>
    </w:rPr>
  </w:style>
  <w:style w:type="character" w:styleId="724" w:customStyle="1">
    <w:name w:val="Заголовок 1 Знак"/>
    <w:basedOn w:val="686"/>
    <w:link w:val="677"/>
    <w:uiPriority w:val="9"/>
    <w:rPr>
      <w:rFonts w:ascii="Arial" w:hAnsi="Arial" w:eastAsia="Arial" w:cs="Arial"/>
      <w:sz w:val="40"/>
      <w:szCs w:val="40"/>
    </w:rPr>
  </w:style>
  <w:style w:type="character" w:styleId="725" w:customStyle="1">
    <w:name w:val="Heading 2 Char"/>
    <w:basedOn w:val="686"/>
    <w:uiPriority w:val="9"/>
    <w:rPr>
      <w:rFonts w:ascii="Arial" w:hAnsi="Arial" w:eastAsia="Arial" w:cs="Arial"/>
      <w:sz w:val="34"/>
    </w:rPr>
  </w:style>
  <w:style w:type="character" w:styleId="726" w:customStyle="1">
    <w:name w:val="Заголовок 3 Знак"/>
    <w:basedOn w:val="686"/>
    <w:link w:val="679"/>
    <w:uiPriority w:val="9"/>
    <w:rPr>
      <w:rFonts w:ascii="Arial" w:hAnsi="Arial" w:eastAsia="Arial" w:cs="Arial"/>
      <w:sz w:val="30"/>
      <w:szCs w:val="30"/>
    </w:rPr>
  </w:style>
  <w:style w:type="character" w:styleId="727" w:customStyle="1">
    <w:name w:val="Заголовок 4 Знак"/>
    <w:basedOn w:val="686"/>
    <w:link w:val="680"/>
    <w:uiPriority w:val="9"/>
    <w:rPr>
      <w:rFonts w:ascii="Arial" w:hAnsi="Arial" w:eastAsia="Arial" w:cs="Arial"/>
      <w:b/>
      <w:bCs/>
      <w:sz w:val="26"/>
      <w:szCs w:val="26"/>
    </w:rPr>
  </w:style>
  <w:style w:type="character" w:styleId="728" w:customStyle="1">
    <w:name w:val="Заголовок 5 Знак"/>
    <w:basedOn w:val="686"/>
    <w:link w:val="681"/>
    <w:uiPriority w:val="9"/>
    <w:rPr>
      <w:rFonts w:ascii="Arial" w:hAnsi="Arial" w:eastAsia="Arial" w:cs="Arial"/>
      <w:b/>
      <w:bCs/>
      <w:sz w:val="24"/>
      <w:szCs w:val="24"/>
    </w:rPr>
  </w:style>
  <w:style w:type="character" w:styleId="729" w:customStyle="1">
    <w:name w:val="Заголовок 6 Знак"/>
    <w:basedOn w:val="686"/>
    <w:link w:val="682"/>
    <w:uiPriority w:val="9"/>
    <w:rPr>
      <w:rFonts w:ascii="Arial" w:hAnsi="Arial" w:eastAsia="Arial" w:cs="Arial"/>
      <w:b/>
      <w:bCs/>
      <w:sz w:val="22"/>
      <w:szCs w:val="22"/>
    </w:rPr>
  </w:style>
  <w:style w:type="character" w:styleId="730" w:customStyle="1">
    <w:name w:val="Заголовок 7 Знак"/>
    <w:basedOn w:val="686"/>
    <w:link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1" w:customStyle="1">
    <w:name w:val="Заголовок 8 Знак"/>
    <w:basedOn w:val="686"/>
    <w:link w:val="684"/>
    <w:uiPriority w:val="9"/>
    <w:rPr>
      <w:rFonts w:ascii="Arial" w:hAnsi="Arial" w:eastAsia="Arial" w:cs="Arial"/>
      <w:i/>
      <w:iCs/>
      <w:sz w:val="22"/>
      <w:szCs w:val="22"/>
    </w:rPr>
  </w:style>
  <w:style w:type="character" w:styleId="732" w:customStyle="1">
    <w:name w:val="Заголовок 9 Знак"/>
    <w:basedOn w:val="686"/>
    <w:link w:val="685"/>
    <w:uiPriority w:val="9"/>
    <w:rPr>
      <w:rFonts w:ascii="Arial" w:hAnsi="Arial" w:eastAsia="Arial" w:cs="Arial"/>
      <w:i/>
      <w:iCs/>
      <w:sz w:val="21"/>
      <w:szCs w:val="21"/>
    </w:rPr>
  </w:style>
  <w:style w:type="paragraph" w:styleId="733">
    <w:name w:val="Title"/>
    <w:basedOn w:val="676"/>
    <w:next w:val="676"/>
    <w:link w:val="734"/>
    <w:uiPriority w:val="10"/>
    <w:qFormat/>
    <w:pPr>
      <w:contextualSpacing/>
      <w:spacing w:before="300"/>
    </w:pPr>
    <w:rPr>
      <w:sz w:val="48"/>
      <w:szCs w:val="48"/>
    </w:rPr>
  </w:style>
  <w:style w:type="character" w:styleId="734" w:customStyle="1">
    <w:name w:val="Название Знак"/>
    <w:basedOn w:val="686"/>
    <w:link w:val="733"/>
    <w:uiPriority w:val="10"/>
    <w:rPr>
      <w:sz w:val="48"/>
      <w:szCs w:val="48"/>
    </w:rPr>
  </w:style>
  <w:style w:type="paragraph" w:styleId="735">
    <w:name w:val="Subtitle"/>
    <w:basedOn w:val="676"/>
    <w:next w:val="676"/>
    <w:link w:val="736"/>
    <w:uiPriority w:val="11"/>
    <w:qFormat/>
    <w:pPr>
      <w:spacing w:before="200"/>
    </w:pPr>
    <w:rPr>
      <w:sz w:val="24"/>
      <w:szCs w:val="24"/>
    </w:rPr>
  </w:style>
  <w:style w:type="character" w:styleId="736" w:customStyle="1">
    <w:name w:val="Подзаголовок Знак"/>
    <w:basedOn w:val="686"/>
    <w:link w:val="735"/>
    <w:uiPriority w:val="11"/>
    <w:rPr>
      <w:sz w:val="24"/>
      <w:szCs w:val="24"/>
    </w:rPr>
  </w:style>
  <w:style w:type="paragraph" w:styleId="737">
    <w:name w:val="Quote"/>
    <w:basedOn w:val="676"/>
    <w:next w:val="676"/>
    <w:link w:val="738"/>
    <w:uiPriority w:val="29"/>
    <w:qFormat/>
    <w:pPr>
      <w:ind w:left="720" w:right="720"/>
    </w:pPr>
    <w:rPr>
      <w:i/>
    </w:rPr>
  </w:style>
  <w:style w:type="character" w:styleId="738" w:customStyle="1">
    <w:name w:val="Цитата 2 Знак"/>
    <w:link w:val="737"/>
    <w:uiPriority w:val="29"/>
    <w:rPr>
      <w:i/>
    </w:rPr>
  </w:style>
  <w:style w:type="paragraph" w:styleId="739">
    <w:name w:val="Intense Quote"/>
    <w:basedOn w:val="676"/>
    <w:next w:val="676"/>
    <w:link w:val="74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0" w:customStyle="1">
    <w:name w:val="Выделенная цитата Знак"/>
    <w:link w:val="739"/>
    <w:uiPriority w:val="30"/>
    <w:rPr>
      <w:i/>
    </w:rPr>
  </w:style>
  <w:style w:type="paragraph" w:styleId="741">
    <w:name w:val="Header"/>
    <w:basedOn w:val="676"/>
    <w:link w:val="7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2" w:customStyle="1">
    <w:name w:val="Верхний колонтитул Знак"/>
    <w:basedOn w:val="686"/>
    <w:link w:val="741"/>
    <w:uiPriority w:val="99"/>
  </w:style>
  <w:style w:type="paragraph" w:styleId="743">
    <w:name w:val="Footer"/>
    <w:basedOn w:val="676"/>
    <w:link w:val="7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4" w:customStyle="1">
    <w:name w:val="Footer Char"/>
    <w:basedOn w:val="686"/>
    <w:uiPriority w:val="99"/>
  </w:style>
  <w:style w:type="paragraph" w:styleId="745">
    <w:name w:val="Caption"/>
    <w:basedOn w:val="676"/>
    <w:next w:val="676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6" w:customStyle="1">
    <w:name w:val="Нижний колонтитул Знак"/>
    <w:link w:val="743"/>
    <w:uiPriority w:val="99"/>
  </w:style>
  <w:style w:type="table" w:styleId="747">
    <w:name w:val="Table Grid"/>
    <w:basedOn w:val="68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8" w:customStyle="1">
    <w:name w:val="Table Grid Light"/>
    <w:basedOn w:val="68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9" w:customStyle="1">
    <w:name w:val="Таблица простая 11"/>
    <w:basedOn w:val="68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 w:customStyle="1">
    <w:name w:val="Таблица простая 21"/>
    <w:basedOn w:val="68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1" w:customStyle="1">
    <w:name w:val="Таблица простая 31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2" w:customStyle="1">
    <w:name w:val="Таблица простая 41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Таблица простая 51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4" w:customStyle="1">
    <w:name w:val="Таблица-сетка 1 светлая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Таблица-сетка 2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Таблица-сетка 3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Таблица-сетка 41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6" w:customStyle="1">
    <w:name w:val="Grid Table 4 - Accent 1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7" w:customStyle="1">
    <w:name w:val="Grid Table 4 - Accent 2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8" w:customStyle="1">
    <w:name w:val="Grid Table 4 - Accent 3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9" w:customStyle="1">
    <w:name w:val="Grid Table 4 - Accent 4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0" w:customStyle="1">
    <w:name w:val="Grid Table 4 - Accent 5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1" w:customStyle="1">
    <w:name w:val="Grid Table 4 - Accent 6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2" w:customStyle="1">
    <w:name w:val="Таблица-сетка 5 темная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9" w:customStyle="1">
    <w:name w:val="Таблица-сетка 6 цветная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0" w:customStyle="1">
    <w:name w:val="Grid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1" w:customStyle="1">
    <w:name w:val="Grid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2" w:customStyle="1">
    <w:name w:val="Grid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3" w:customStyle="1">
    <w:name w:val="Grid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4" w:customStyle="1">
    <w:name w:val="Grid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5" w:customStyle="1">
    <w:name w:val="Grid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6" w:customStyle="1">
    <w:name w:val="Таблица-сетка 7 цветная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 w:customStyle="1">
    <w:name w:val="Grid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8" w:customStyle="1">
    <w:name w:val="Grid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9" w:customStyle="1">
    <w:name w:val="Grid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0" w:customStyle="1">
    <w:name w:val="Grid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1" w:customStyle="1">
    <w:name w:val="Grid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2" w:customStyle="1">
    <w:name w:val="Grid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3" w:customStyle="1">
    <w:name w:val="Список-таблица 1 светлая1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1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2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3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4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5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6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Список-таблица 2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7" w:customStyle="1">
    <w:name w:val="Список-таблица 3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Список-таблица 4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Список-таблица 5 темная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Список-таблица 6 цветная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9" w:customStyle="1">
    <w:name w:val="List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0" w:customStyle="1">
    <w:name w:val="List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1" w:customStyle="1">
    <w:name w:val="List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2" w:customStyle="1">
    <w:name w:val="List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3" w:customStyle="1">
    <w:name w:val="List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4" w:customStyle="1">
    <w:name w:val="List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5" w:customStyle="1">
    <w:name w:val="Список-таблица 7 цветная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6" w:customStyle="1">
    <w:name w:val="List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7" w:customStyle="1">
    <w:name w:val="List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8" w:customStyle="1">
    <w:name w:val="List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9" w:customStyle="1">
    <w:name w:val="List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0" w:customStyle="1">
    <w:name w:val="List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1" w:customStyle="1">
    <w:name w:val="List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2" w:customStyle="1">
    <w:name w:val="Lined - Accent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3" w:customStyle="1">
    <w:name w:val="Lined - Accent 1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4" w:customStyle="1">
    <w:name w:val="Lined - Accent 2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5" w:customStyle="1">
    <w:name w:val="Lined - Accent 3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6" w:customStyle="1">
    <w:name w:val="Lined - Accent 4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7" w:customStyle="1">
    <w:name w:val="Lined - Accent 5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8" w:customStyle="1">
    <w:name w:val="Lined - Accent 6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9" w:customStyle="1">
    <w:name w:val="Bordered &amp; Lined - Accent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0" w:customStyle="1">
    <w:name w:val="Bordered &amp; Lined - Accent 1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1" w:customStyle="1">
    <w:name w:val="Bordered &amp; Lined - Accent 2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2" w:customStyle="1">
    <w:name w:val="Bordered &amp; Lined - Accent 3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3" w:customStyle="1">
    <w:name w:val="Bordered &amp; Lined - Accent 4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4" w:customStyle="1">
    <w:name w:val="Bordered &amp; Lined - Accent 5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5" w:customStyle="1">
    <w:name w:val="Bordered &amp; Lined - Accent 6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6" w:customStyle="1">
    <w:name w:val="Bordered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7" w:customStyle="1">
    <w:name w:val="Bordered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8" w:customStyle="1">
    <w:name w:val="Bordered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9" w:customStyle="1">
    <w:name w:val="Bordered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0" w:customStyle="1">
    <w:name w:val="Bordered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1" w:customStyle="1">
    <w:name w:val="Bordered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2" w:customStyle="1">
    <w:name w:val="Bordered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3">
    <w:name w:val="footnote text"/>
    <w:basedOn w:val="676"/>
    <w:link w:val="874"/>
    <w:uiPriority w:val="99"/>
    <w:semiHidden/>
    <w:unhideWhenUsed/>
    <w:pPr>
      <w:spacing w:after="40" w:line="240" w:lineRule="auto"/>
    </w:pPr>
    <w:rPr>
      <w:sz w:val="18"/>
    </w:rPr>
  </w:style>
  <w:style w:type="character" w:styleId="874" w:customStyle="1">
    <w:name w:val="Текст сноски Знак"/>
    <w:link w:val="873"/>
    <w:uiPriority w:val="99"/>
    <w:rPr>
      <w:sz w:val="18"/>
    </w:rPr>
  </w:style>
  <w:style w:type="character" w:styleId="875">
    <w:name w:val="footnote reference"/>
    <w:basedOn w:val="686"/>
    <w:uiPriority w:val="99"/>
    <w:unhideWhenUsed/>
    <w:rPr>
      <w:vertAlign w:val="superscript"/>
    </w:rPr>
  </w:style>
  <w:style w:type="paragraph" w:styleId="876">
    <w:name w:val="endnote text"/>
    <w:basedOn w:val="676"/>
    <w:link w:val="877"/>
    <w:uiPriority w:val="99"/>
    <w:semiHidden/>
    <w:unhideWhenUsed/>
    <w:pPr>
      <w:spacing w:after="0" w:line="240" w:lineRule="auto"/>
    </w:pPr>
    <w:rPr>
      <w:sz w:val="20"/>
    </w:rPr>
  </w:style>
  <w:style w:type="character" w:styleId="877" w:customStyle="1">
    <w:name w:val="Текст концевой сноски Знак"/>
    <w:link w:val="876"/>
    <w:uiPriority w:val="99"/>
    <w:rPr>
      <w:sz w:val="20"/>
    </w:rPr>
  </w:style>
  <w:style w:type="character" w:styleId="878">
    <w:name w:val="endnote reference"/>
    <w:basedOn w:val="686"/>
    <w:uiPriority w:val="99"/>
    <w:semiHidden/>
    <w:unhideWhenUsed/>
    <w:rPr>
      <w:vertAlign w:val="superscript"/>
    </w:rPr>
  </w:style>
  <w:style w:type="paragraph" w:styleId="879">
    <w:name w:val="toc 1"/>
    <w:basedOn w:val="676"/>
    <w:next w:val="676"/>
    <w:uiPriority w:val="39"/>
    <w:unhideWhenUsed/>
    <w:pPr>
      <w:spacing w:after="57"/>
    </w:pPr>
  </w:style>
  <w:style w:type="paragraph" w:styleId="880">
    <w:name w:val="toc 2"/>
    <w:basedOn w:val="676"/>
    <w:next w:val="676"/>
    <w:uiPriority w:val="39"/>
    <w:unhideWhenUsed/>
    <w:pPr>
      <w:ind w:left="283"/>
      <w:spacing w:after="57"/>
    </w:pPr>
  </w:style>
  <w:style w:type="paragraph" w:styleId="881">
    <w:name w:val="toc 3"/>
    <w:basedOn w:val="676"/>
    <w:next w:val="676"/>
    <w:uiPriority w:val="39"/>
    <w:unhideWhenUsed/>
    <w:pPr>
      <w:ind w:left="567"/>
      <w:spacing w:after="57"/>
    </w:pPr>
  </w:style>
  <w:style w:type="paragraph" w:styleId="882">
    <w:name w:val="toc 4"/>
    <w:basedOn w:val="676"/>
    <w:next w:val="676"/>
    <w:uiPriority w:val="39"/>
    <w:unhideWhenUsed/>
    <w:pPr>
      <w:ind w:left="850"/>
      <w:spacing w:after="57"/>
    </w:pPr>
  </w:style>
  <w:style w:type="paragraph" w:styleId="883">
    <w:name w:val="toc 5"/>
    <w:basedOn w:val="676"/>
    <w:next w:val="676"/>
    <w:uiPriority w:val="39"/>
    <w:unhideWhenUsed/>
    <w:pPr>
      <w:ind w:left="1134"/>
      <w:spacing w:after="57"/>
    </w:pPr>
  </w:style>
  <w:style w:type="paragraph" w:styleId="884">
    <w:name w:val="toc 6"/>
    <w:basedOn w:val="676"/>
    <w:next w:val="676"/>
    <w:uiPriority w:val="39"/>
    <w:unhideWhenUsed/>
    <w:pPr>
      <w:ind w:left="1417"/>
      <w:spacing w:after="57"/>
    </w:pPr>
  </w:style>
  <w:style w:type="paragraph" w:styleId="885">
    <w:name w:val="toc 7"/>
    <w:basedOn w:val="676"/>
    <w:next w:val="676"/>
    <w:uiPriority w:val="39"/>
    <w:unhideWhenUsed/>
    <w:pPr>
      <w:ind w:left="1701"/>
      <w:spacing w:after="57"/>
    </w:pPr>
  </w:style>
  <w:style w:type="paragraph" w:styleId="886">
    <w:name w:val="toc 8"/>
    <w:basedOn w:val="676"/>
    <w:next w:val="676"/>
    <w:uiPriority w:val="39"/>
    <w:unhideWhenUsed/>
    <w:pPr>
      <w:ind w:left="1984"/>
      <w:spacing w:after="57"/>
    </w:pPr>
  </w:style>
  <w:style w:type="paragraph" w:styleId="887">
    <w:name w:val="toc 9"/>
    <w:basedOn w:val="676"/>
    <w:next w:val="676"/>
    <w:uiPriority w:val="39"/>
    <w:unhideWhenUsed/>
    <w:pPr>
      <w:ind w:left="2268"/>
      <w:spacing w:after="57"/>
    </w:pPr>
  </w:style>
  <w:style w:type="paragraph" w:styleId="888">
    <w:name w:val="TOC Heading"/>
    <w:uiPriority w:val="39"/>
    <w:unhideWhenUsed/>
  </w:style>
  <w:style w:type="paragraph" w:styleId="889">
    <w:name w:val="table of figures"/>
    <w:basedOn w:val="676"/>
    <w:next w:val="676"/>
    <w:uiPriority w:val="99"/>
    <w:unhideWhenUsed/>
    <w:pPr>
      <w:spacing w:after="0"/>
    </w:pPr>
  </w:style>
  <w:style w:type="paragraph" w:styleId="890">
    <w:name w:val="Body Text"/>
    <w:basedOn w:val="676"/>
    <w:link w:val="891"/>
    <w:pPr>
      <w:spacing w:after="120" w:line="240" w:lineRule="auto"/>
      <w:widowControl w:val="off"/>
    </w:pPr>
    <w:rPr>
      <w:rFonts w:ascii="Times New Roman" w:hAnsi="Times New Roman" w:eastAsia="Times New Roman" w:cs="Times New Roman"/>
      <w:sz w:val="20"/>
      <w:szCs w:val="20"/>
    </w:rPr>
  </w:style>
  <w:style w:type="character" w:styleId="891" w:customStyle="1">
    <w:name w:val="Основной текст Знак"/>
    <w:basedOn w:val="686"/>
    <w:link w:val="890"/>
    <w:rPr>
      <w:rFonts w:ascii="Times New Roman" w:hAnsi="Times New Roman" w:eastAsia="Times New Roman" w:cs="Times New Roman"/>
      <w:sz w:val="20"/>
      <w:szCs w:val="20"/>
    </w:rPr>
  </w:style>
  <w:style w:type="paragraph" w:styleId="892">
    <w:name w:val="List Paragraph"/>
    <w:basedOn w:val="676"/>
    <w:uiPriority w:val="34"/>
    <w:qFormat/>
    <w:pPr>
      <w:contextualSpacing/>
      <w:ind w:left="720"/>
    </w:pPr>
  </w:style>
  <w:style w:type="paragraph" w:styleId="893">
    <w:name w:val="Balloon Text"/>
    <w:basedOn w:val="676"/>
    <w:link w:val="89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4" w:customStyle="1">
    <w:name w:val="Текст выноски Знак"/>
    <w:basedOn w:val="686"/>
    <w:link w:val="893"/>
    <w:uiPriority w:val="99"/>
    <w:semiHidden/>
    <w:rPr>
      <w:rFonts w:ascii="Tahoma" w:hAnsi="Tahoma" w:cs="Tahoma"/>
      <w:sz w:val="16"/>
      <w:szCs w:val="16"/>
    </w:rPr>
  </w:style>
  <w:style w:type="character" w:styleId="895" w:customStyle="1">
    <w:name w:val="Основной текст_"/>
    <w:link w:val="896"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paragraph" w:styleId="896" w:customStyle="1">
    <w:name w:val="Основной текст2"/>
    <w:basedOn w:val="676"/>
    <w:link w:val="895"/>
    <w:pPr>
      <w:jc w:val="both"/>
      <w:spacing w:before="300" w:after="0" w:line="317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7"/>
      <w:szCs w:val="27"/>
    </w:rPr>
  </w:style>
  <w:style w:type="paragraph" w:styleId="897">
    <w:name w:val="Normal (Web)"/>
    <w:basedOn w:val="676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8">
    <w:name w:val="No Spacing"/>
    <w:uiPriority w:val="1"/>
    <w:qFormat/>
    <w:pPr>
      <w:spacing w:after="0" w:line="240" w:lineRule="auto"/>
    </w:pPr>
  </w:style>
  <w:style w:type="character" w:styleId="899">
    <w:name w:val="Hyperlink"/>
    <w:basedOn w:val="686"/>
    <w:uiPriority w:val="99"/>
    <w:semiHidden/>
    <w:unhideWhenUsed/>
    <w:rPr>
      <w:color w:val="0000ff"/>
      <w:u w:val="single"/>
    </w:rPr>
  </w:style>
  <w:style w:type="character" w:styleId="900" w:customStyle="1">
    <w:name w:val="Заголовок 2 Знак"/>
    <w:basedOn w:val="686"/>
    <w:link w:val="678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901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8BDA2-EE5E-460A-ACE0-FF105F75D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Ражина</dc:creator>
  <cp:lastModifiedBy>konovalenkoan</cp:lastModifiedBy>
  <cp:revision>200</cp:revision>
  <dcterms:created xsi:type="dcterms:W3CDTF">2022-09-15T06:40:00Z</dcterms:created>
  <dcterms:modified xsi:type="dcterms:W3CDTF">2025-01-20T05:25:10Z</dcterms:modified>
</cp:coreProperties>
</file>