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46"/>
        <w:jc w:val="center"/>
        <w:outlineLvl w:val="0"/>
      </w:pPr>
      <w:r>
        <w:rPr>
          <w:sz w:val="24"/>
        </w:rPr>
        <w:t xml:space="preserve">МИНИСТЕРСТВО ЗДРАВООХРАНЕНИЯ РОССИЙСКОЙ ФЕДЕРАЦИИ</w:t>
      </w:r>
      <w:r/>
    </w:p>
    <w:p>
      <w:pPr>
        <w:pStyle w:val="1046"/>
        <w:jc w:val="center"/>
      </w:pPr>
      <w:r>
        <w:rPr>
          <w:sz w:val="24"/>
        </w:rPr>
        <w:t xml:space="preserve">N 31-2/И/2-6103</w:t>
      </w:r>
      <w:r/>
    </w:p>
    <w:p>
      <w:pPr>
        <w:pStyle w:val="1046"/>
        <w:jc w:val="both"/>
      </w:pPr>
      <w:r>
        <w:rPr>
          <w:sz w:val="24"/>
        </w:rPr>
      </w:r>
      <w:r/>
    </w:p>
    <w:p>
      <w:pPr>
        <w:pStyle w:val="1046"/>
        <w:jc w:val="center"/>
      </w:pPr>
      <w:r>
        <w:rPr>
          <w:sz w:val="24"/>
        </w:rPr>
        <w:t xml:space="preserve">ФЕДЕРАЛЬНЫЙ ФОНД ОБЯЗАТЕЛЬНОГО МЕДИЦИНСКОГО СТРАХОВАНИЯ</w:t>
      </w:r>
      <w:r/>
    </w:p>
    <w:p>
      <w:pPr>
        <w:pStyle w:val="1046"/>
        <w:jc w:val="center"/>
      </w:pPr>
      <w:r>
        <w:rPr>
          <w:sz w:val="24"/>
        </w:rPr>
        <w:t xml:space="preserve">N 00-10-26-3-06/6382</w:t>
      </w:r>
      <w:r/>
    </w:p>
    <w:p>
      <w:pPr>
        <w:pStyle w:val="1046"/>
        <w:jc w:val="both"/>
      </w:pPr>
      <w:r>
        <w:rPr>
          <w:sz w:val="24"/>
        </w:rPr>
      </w:r>
      <w:r/>
    </w:p>
    <w:p>
      <w:pPr>
        <w:pStyle w:val="1046"/>
        <w:jc w:val="center"/>
      </w:pPr>
      <w:r>
        <w:rPr>
          <w:sz w:val="24"/>
        </w:rPr>
        <w:t xml:space="preserve">ПИСЬМО</w:t>
      </w:r>
      <w:r/>
    </w:p>
    <w:p>
      <w:pPr>
        <w:pStyle w:val="1046"/>
        <w:jc w:val="center"/>
      </w:pPr>
      <w:r>
        <w:rPr>
          <w:sz w:val="24"/>
        </w:rPr>
        <w:t xml:space="preserve">от 3 апреля 2026 года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ind w:firstLine="540"/>
        <w:jc w:val="both"/>
      </w:pPr>
      <w:r>
        <w:rPr>
          <w:sz w:val="24"/>
        </w:rPr>
        <w:t xml:space="preserve">Министерство здравоохранения Российской Федерации совместно с Федеральным фондом обязательного медицинского страхования направляет для руководства и использования в работе изменения в </w:t>
      </w:r>
      <w:hyperlink r:id="rId12" w:tooltip="&lt;Письмо&gt; Минздрава России от 24.02.2026 N 31-2/И/2-3021 &quot;О методических рекомендациях по способам оплаты медицинской помощи за счет средств обязательного медицинского страхования&quot; (вместе с &quot;Методическими рекомендациями по способам оплаты медицинской помощи за счет средств обязательного медицинского страхования&quot;, утв. Минздравом России N 31-2/И/2-2902, ФФОМС N 00-10-26-2-06/3109 20.02.2026) ------------ Недействующая редакция {КонсультантПлюс}" w:history="1">
        <w:r>
          <w:rPr>
            <w:color w:val="0000ff"/>
            <w:sz w:val="24"/>
          </w:rPr>
          <w:t xml:space="preserve">Методические рекомендации</w:t>
        </w:r>
      </w:hyperlink>
      <w:r>
        <w:rPr>
          <w:sz w:val="24"/>
        </w:rPr>
        <w:t xml:space="preserve"> по способам оплаты медицинской помощи за счет средств обязательного медицинского страхования, ранее направленные совместным письмом от 20.02.2026 N 31-2/И/2-2902/N 00-10-26-2-06/3109: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1. </w:t>
      </w:r>
      <w:hyperlink r:id="rId13" w:tooltip="&lt;Письмо&gt; Минздрава России от 24.02.2026 N 31-2/И/2-3021 &quot;О методических рекомендациях по способам оплаты медицинской помощи за счет средств обязательного медицинского страхования&quot; (вместе с &quot;Методическими рекомендациями по способам оплаты медицинской помощи за счет средств обязательного медицинского страхования&quot;, утв. Минздравом России N 31-2/И/2-2902, ФФОМС N 00-10-26-2-06/3109 20.02.2026) ------------ Недействующая редакция {КонсультантПлюс}" w:history="1">
        <w:r>
          <w:rPr>
            <w:color w:val="0000ff"/>
            <w:sz w:val="24"/>
          </w:rPr>
          <w:t xml:space="preserve">Приложение 12</w:t>
        </w:r>
      </w:hyperlink>
      <w:r>
        <w:rPr>
          <w:sz w:val="24"/>
        </w:rPr>
        <w:t xml:space="preserve"> "Перечень лекарственных </w:t>
      </w:r>
      <w:r>
        <w:rPr>
          <w:sz w:val="24"/>
        </w:rPr>
        <w:t xml:space="preserve">препаратов для проведения противоопухолевой лекарственной терапии, при назначении которых необходимо обязательное проведение молекулярно-генетических исследований/иммуногистохимических исследований, позволяющих определить маркер" изложить в новой редакции </w:t>
      </w:r>
      <w:hyperlink w:tooltip="ПЕРЕЧЕНЬ" w:anchor="P29" w:history="1">
        <w:r>
          <w:rPr>
            <w:color w:val="0000ff"/>
            <w:sz w:val="24"/>
          </w:rPr>
          <w:t xml:space="preserve">(прилагается)</w:t>
        </w:r>
      </w:hyperlink>
      <w:r>
        <w:rPr>
          <w:sz w:val="24"/>
        </w:rPr>
        <w:t xml:space="preserve">.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right"/>
      </w:pPr>
      <w:r>
        <w:rPr>
          <w:sz w:val="24"/>
        </w:rPr>
        <w:t xml:space="preserve">Первый заместитель</w:t>
      </w:r>
      <w:r/>
    </w:p>
    <w:p>
      <w:pPr>
        <w:pStyle w:val="1044"/>
        <w:jc w:val="right"/>
      </w:pPr>
      <w:r>
        <w:rPr>
          <w:sz w:val="24"/>
        </w:rPr>
        <w:t xml:space="preserve">Министра здравоохранения</w:t>
      </w:r>
      <w:r/>
    </w:p>
    <w:p>
      <w:pPr>
        <w:pStyle w:val="1044"/>
        <w:jc w:val="right"/>
      </w:pPr>
      <w:r>
        <w:rPr>
          <w:sz w:val="24"/>
        </w:rPr>
        <w:t xml:space="preserve">Российской Федерации</w:t>
      </w:r>
      <w:r/>
    </w:p>
    <w:p>
      <w:pPr>
        <w:pStyle w:val="1044"/>
        <w:jc w:val="right"/>
      </w:pPr>
      <w:r>
        <w:rPr>
          <w:sz w:val="24"/>
        </w:rPr>
        <w:t xml:space="preserve">В.А.ЗЕЛЕНСКИЙ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right"/>
      </w:pPr>
      <w:r>
        <w:rPr>
          <w:sz w:val="24"/>
        </w:rPr>
        <w:t xml:space="preserve">Председатель</w:t>
      </w:r>
      <w:r/>
    </w:p>
    <w:p>
      <w:pPr>
        <w:pStyle w:val="1044"/>
        <w:jc w:val="right"/>
      </w:pPr>
      <w:r>
        <w:rPr>
          <w:sz w:val="24"/>
        </w:rPr>
        <w:t xml:space="preserve">Федерального фонда обязательного</w:t>
      </w:r>
      <w:r/>
    </w:p>
    <w:p>
      <w:pPr>
        <w:pStyle w:val="1044"/>
        <w:jc w:val="right"/>
      </w:pPr>
      <w:r>
        <w:rPr>
          <w:sz w:val="24"/>
        </w:rPr>
        <w:t xml:space="preserve">медицинского страхования</w:t>
      </w:r>
      <w:r/>
    </w:p>
    <w:p>
      <w:pPr>
        <w:pStyle w:val="1044"/>
        <w:jc w:val="right"/>
      </w:pPr>
      <w:r>
        <w:rPr>
          <w:sz w:val="24"/>
        </w:rPr>
        <w:t xml:space="preserve">И.В.БАЛАНИН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right"/>
        <w:outlineLvl w:val="0"/>
      </w:pPr>
      <w:r>
        <w:rPr>
          <w:sz w:val="24"/>
        </w:rPr>
        <w:t xml:space="preserve">Приложение 12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6"/>
        <w:jc w:val="center"/>
      </w:pPr>
      <w:r/>
      <w:bookmarkStart w:id="29" w:name="P29"/>
      <w:r/>
      <w:bookmarkEnd w:id="29"/>
      <w:r>
        <w:rPr>
          <w:sz w:val="24"/>
        </w:rPr>
        <w:t xml:space="preserve">ПЕРЕЧЕНЬ</w:t>
      </w:r>
      <w:r/>
    </w:p>
    <w:p>
      <w:pPr>
        <w:pStyle w:val="1046"/>
        <w:jc w:val="center"/>
      </w:pPr>
      <w:r>
        <w:rPr>
          <w:sz w:val="24"/>
        </w:rPr>
        <w:t xml:space="preserve">ЛЕКАРСТВЕННЫХ ПРЕПАРАТОВ ДЛЯ ПРОВЕДЕНИЯ ПРОТИВООПУХОЛЕВОЙ</w:t>
      </w:r>
      <w:r/>
    </w:p>
    <w:p>
      <w:pPr>
        <w:pStyle w:val="1046"/>
        <w:jc w:val="center"/>
      </w:pPr>
      <w:r>
        <w:rPr>
          <w:sz w:val="24"/>
        </w:rPr>
        <w:t xml:space="preserve">ЛЕКАРСТВЕННОЙ ТЕРАПИИ, ПРИ НАЗНАЧЕНИИ КОТОРЫХ НЕОБХОДИМО</w:t>
      </w:r>
      <w:r/>
    </w:p>
    <w:p>
      <w:pPr>
        <w:pStyle w:val="1046"/>
        <w:jc w:val="center"/>
      </w:pPr>
      <w:r>
        <w:rPr>
          <w:sz w:val="24"/>
        </w:rPr>
        <w:t xml:space="preserve">ОБЯЗАТЕЛЬНОЕ ПРОВЕДЕНИЕ МОЛЕКУЛЯРНО-ГЕНЕТИЧЕСКИХ</w:t>
      </w:r>
      <w:r/>
    </w:p>
    <w:p>
      <w:pPr>
        <w:pStyle w:val="1046"/>
        <w:jc w:val="center"/>
      </w:pPr>
      <w:r>
        <w:rPr>
          <w:sz w:val="24"/>
        </w:rPr>
        <w:t xml:space="preserve">ИССЛЕДОВАНИЙ/ИММУНОГИСТОХИМИЧЕСКИХ ИССЛЕДОВАНИЙ,</w:t>
      </w:r>
      <w:r/>
    </w:p>
    <w:p>
      <w:pPr>
        <w:pStyle w:val="1046"/>
        <w:jc w:val="center"/>
      </w:pPr>
      <w:r>
        <w:rPr>
          <w:sz w:val="24"/>
        </w:rPr>
        <w:t xml:space="preserve">ПОЗВОЛЯЮЩИХ ОПРЕДЕЛИТЬ МАРКЕР</w:t>
      </w:r>
      <w:r/>
    </w:p>
    <w:p>
      <w:pPr>
        <w:pStyle w:val="1044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71"/>
        <w:gridCol w:w="1814"/>
        <w:gridCol w:w="1701"/>
        <w:gridCol w:w="1402"/>
        <w:gridCol w:w="4213"/>
      </w:tblGrid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N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Наименование МНН (в т.ч. в составе схем)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Код </w:t>
            </w:r>
            <w:hyperlink r:id="rId14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 w:history="1">
              <w:r>
                <w:rPr>
                  <w:color w:val="0000ff"/>
                  <w:sz w:val="24"/>
                </w:rPr>
                <w:t xml:space="preserve">МКБ-10</w:t>
              </w:r>
            </w:hyperlink>
            <w:r>
              <w:rPr>
                <w:sz w:val="24"/>
              </w:rPr>
              <w:t xml:space="preserve"> &lt;*&gt;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Код маркера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Результат исследования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Абемациклиб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Алектиниб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ALK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транслокации в гене ALK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Алпелисиб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PIK3CA и 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мутации в гене PIK3CA и 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Вемурафениб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C43, 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Гефитиниб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EGFR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EGFR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Дабрафениб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C34, C43, 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Кобиметиниб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C43, 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8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Кризотиниб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ALK или ROS1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транслокации в гене ALK или ROS1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Лапатиниб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C50, 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Гиперэкспрессия/амплификация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Ленватиниб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C54, C55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MSI или dMMR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микросателлитной нестабильности или нарушений системы репарации ДНК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11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Олапариб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C25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BRCA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генах BRCA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12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Олапариб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BRCA и 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генах BRCA и 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13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Олапариб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C61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BRCA или HRR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генах BRCA или Наличие мутаций в генах HRR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14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Осимертиниб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EGFR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EGFR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15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Палбоциклиб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16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Панитумумаб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в гене RAS и отсутствие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17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Пертузумаб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C20, 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Гиперэкспрессия/амплификация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18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Рибоциклиб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19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Талазопариб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BRCA и 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генах BRCA и отсутствие гиперэкспрессии/амплификации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20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Траметиниб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C34, C43, 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21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Трастузумаб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C07, C08, C15, C16, C18, C19, C50, C54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Гиперэкспрессия/амплификация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22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Трастузумаб эмтанзин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C50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HER2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Гиперэкспрессия/амплификация белка HER2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23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Церитиниб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C34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ALK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Наличие транслокации в гене ALK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24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Цетуксимаб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в гене RAS и отсутствие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25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Цетуксимаб + Вемурафениб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26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Цетуксимаб + Дабрафениб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27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Цетуксимаб + Энкорафениб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28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Панитумумаб + Вемурафениб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29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Панитумумаб + Дабрафениб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  <w:tr>
        <w:tblPrEx/>
        <w:trPr/>
        <w:tc>
          <w:tcPr>
            <w:tcW w:w="57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30</w:t>
            </w:r>
            <w:r/>
          </w:p>
        </w:tc>
        <w:tc>
          <w:tcPr>
            <w:tcW w:w="1814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Панитумумаб + Энкорафениб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C18, C19, C20</w:t>
            </w:r>
            <w:r/>
          </w:p>
        </w:tc>
        <w:tc>
          <w:tcPr>
            <w:tcW w:w="1402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RAS и BRAF</w:t>
            </w:r>
            <w:r/>
          </w:p>
        </w:tc>
        <w:tc>
          <w:tcPr>
            <w:tcW w:w="4213" w:type="dxa"/>
            <w:textDirection w:val="lrTb"/>
            <w:noWrap w:val="false"/>
          </w:tcPr>
          <w:p>
            <w:pPr>
              <w:pStyle w:val="1044"/>
              <w:jc w:val="center"/>
            </w:pPr>
            <w:r>
              <w:rPr>
                <w:sz w:val="24"/>
              </w:rPr>
              <w:t xml:space="preserve">Отсутствие мутаций гена RAS и наличие мутаций в гене BRAF</w:t>
            </w:r>
            <w:r/>
          </w:p>
        </w:tc>
      </w:tr>
    </w:tbl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044"/>
        <w:ind w:firstLine="540"/>
        <w:jc w:val="both"/>
        <w:spacing w:before="240"/>
      </w:pPr>
      <w:r>
        <w:rPr>
          <w:sz w:val="24"/>
        </w:rPr>
        <w:t xml:space="preserve">&lt;*&gt; Назначение лекарственных препаратов в соответствии с клиническими рекомендациями при диагнозах, коды Международной статистической </w:t>
      </w:r>
      <w:hyperlink r:id="rId15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 w:history="1">
        <w:r>
          <w:rPr>
            <w:color w:val="0000ff"/>
            <w:sz w:val="24"/>
          </w:rPr>
          <w:t xml:space="preserve">классификации</w:t>
        </w:r>
      </w:hyperlink>
      <w:r>
        <w:rPr>
          <w:sz w:val="24"/>
        </w:rPr>
        <w:t xml:space="preserve"> болезней и проблем, связанных со здоровьем, 10-го пересмотра которых не </w:t>
      </w:r>
      <w:r>
        <w:rPr>
          <w:sz w:val="24"/>
        </w:rPr>
        <w:t xml:space="preserve">указаны в настоящей таблице, без проведения молекулярно-генетических исследований/иммуногистохимических исследований и наличия определенного результата не является основанием для отказа в оплате медицинской помощи либо уменьшения оплаты медицинской помощи.</w:t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</w:pPr>
      <w:r>
        <w:rPr>
          <w:sz w:val="24"/>
        </w:rPr>
      </w:r>
      <w:r/>
    </w:p>
    <w:p>
      <w:pPr>
        <w:pStyle w:val="1044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</w:pP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</w:pP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</w:pP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65">
    <w:name w:val="Normal"/>
    <w:qFormat/>
  </w:style>
  <w:style w:type="paragraph" w:styleId="866">
    <w:name w:val="Heading 1"/>
    <w:basedOn w:val="865"/>
    <w:next w:val="865"/>
    <w:link w:val="86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867">
    <w:name w:val="Heading 1 Char"/>
    <w:link w:val="86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868">
    <w:name w:val="Heading 2"/>
    <w:basedOn w:val="865"/>
    <w:next w:val="865"/>
    <w:link w:val="86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869">
    <w:name w:val="Heading 2 Char"/>
    <w:link w:val="868"/>
    <w:uiPriority w:val="9"/>
    <w:rPr>
      <w:rFonts w:ascii="Liberation Sans" w:hAnsi="Liberation Sans" w:eastAsia="Liberation Sans" w:cs="Liberation Sans"/>
      <w:sz w:val="34"/>
    </w:rPr>
  </w:style>
  <w:style w:type="paragraph" w:styleId="870">
    <w:name w:val="Heading 3"/>
    <w:basedOn w:val="865"/>
    <w:next w:val="865"/>
    <w:link w:val="87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871">
    <w:name w:val="Heading 3 Char"/>
    <w:link w:val="87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872">
    <w:name w:val="Heading 4"/>
    <w:basedOn w:val="865"/>
    <w:next w:val="865"/>
    <w:link w:val="87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73">
    <w:name w:val="Heading 4 Char"/>
    <w:link w:val="87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874">
    <w:name w:val="Heading 5"/>
    <w:basedOn w:val="865"/>
    <w:next w:val="865"/>
    <w:link w:val="87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75">
    <w:name w:val="Heading 5 Char"/>
    <w:link w:val="87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876">
    <w:name w:val="Heading 6"/>
    <w:basedOn w:val="865"/>
    <w:next w:val="865"/>
    <w:link w:val="87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77">
    <w:name w:val="Heading 6 Char"/>
    <w:link w:val="87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78">
    <w:name w:val="Heading 7"/>
    <w:basedOn w:val="865"/>
    <w:next w:val="865"/>
    <w:link w:val="87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79">
    <w:name w:val="Heading 7 Char"/>
    <w:link w:val="87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880">
    <w:name w:val="Heading 8"/>
    <w:basedOn w:val="865"/>
    <w:next w:val="865"/>
    <w:link w:val="88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81">
    <w:name w:val="Heading 8 Char"/>
    <w:link w:val="88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882">
    <w:name w:val="Heading 9"/>
    <w:basedOn w:val="865"/>
    <w:next w:val="865"/>
    <w:link w:val="88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83">
    <w:name w:val="Heading 9 Char"/>
    <w:link w:val="88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84">
    <w:name w:val="List Paragraph"/>
    <w:basedOn w:val="865"/>
    <w:uiPriority w:val="34"/>
    <w:qFormat/>
    <w:pPr>
      <w:contextualSpacing/>
      <w:ind w:left="720"/>
    </w:pPr>
  </w:style>
  <w:style w:type="paragraph" w:styleId="885">
    <w:name w:val="No Spacing"/>
    <w:uiPriority w:val="1"/>
    <w:qFormat/>
    <w:pPr>
      <w:spacing w:before="0" w:after="0" w:line="240" w:lineRule="auto"/>
    </w:pPr>
  </w:style>
  <w:style w:type="paragraph" w:styleId="886">
    <w:name w:val="Title"/>
    <w:basedOn w:val="865"/>
    <w:next w:val="865"/>
    <w:link w:val="8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87">
    <w:name w:val="Title Char"/>
    <w:link w:val="886"/>
    <w:uiPriority w:val="10"/>
    <w:rPr>
      <w:sz w:val="48"/>
      <w:szCs w:val="48"/>
    </w:rPr>
  </w:style>
  <w:style w:type="paragraph" w:styleId="888">
    <w:name w:val="Subtitle"/>
    <w:basedOn w:val="865"/>
    <w:next w:val="865"/>
    <w:link w:val="889"/>
    <w:uiPriority w:val="11"/>
    <w:qFormat/>
    <w:pPr>
      <w:spacing w:before="200" w:after="200"/>
    </w:pPr>
    <w:rPr>
      <w:sz w:val="24"/>
      <w:szCs w:val="24"/>
    </w:rPr>
  </w:style>
  <w:style w:type="character" w:styleId="889">
    <w:name w:val="Subtitle Char"/>
    <w:link w:val="888"/>
    <w:uiPriority w:val="11"/>
    <w:rPr>
      <w:sz w:val="24"/>
      <w:szCs w:val="24"/>
    </w:rPr>
  </w:style>
  <w:style w:type="paragraph" w:styleId="890">
    <w:name w:val="Quote"/>
    <w:basedOn w:val="865"/>
    <w:next w:val="865"/>
    <w:link w:val="891"/>
    <w:uiPriority w:val="29"/>
    <w:qFormat/>
    <w:pPr>
      <w:ind w:left="720" w:right="720"/>
    </w:pPr>
    <w:rPr>
      <w:i/>
    </w:rPr>
  </w:style>
  <w:style w:type="character" w:styleId="891">
    <w:name w:val="Quote Char"/>
    <w:link w:val="890"/>
    <w:uiPriority w:val="29"/>
    <w:rPr>
      <w:i/>
    </w:rPr>
  </w:style>
  <w:style w:type="paragraph" w:styleId="892">
    <w:name w:val="Intense Quote"/>
    <w:basedOn w:val="865"/>
    <w:next w:val="865"/>
    <w:link w:val="8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3">
    <w:name w:val="Intense Quote Char"/>
    <w:link w:val="892"/>
    <w:uiPriority w:val="30"/>
    <w:rPr>
      <w:i/>
    </w:rPr>
  </w:style>
  <w:style w:type="paragraph" w:styleId="894">
    <w:name w:val="Header"/>
    <w:basedOn w:val="865"/>
    <w:link w:val="8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5">
    <w:name w:val="Header Char"/>
    <w:link w:val="894"/>
    <w:uiPriority w:val="99"/>
  </w:style>
  <w:style w:type="paragraph" w:styleId="896">
    <w:name w:val="Footer"/>
    <w:basedOn w:val="865"/>
    <w:link w:val="8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97">
    <w:name w:val="Footer Char"/>
    <w:link w:val="896"/>
    <w:uiPriority w:val="99"/>
  </w:style>
  <w:style w:type="paragraph" w:styleId="898">
    <w:name w:val="Caption"/>
    <w:basedOn w:val="865"/>
    <w:next w:val="865"/>
    <w:link w:val="8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99">
    <w:name w:val="Caption Char"/>
    <w:link w:val="898"/>
    <w:uiPriority w:val="35"/>
    <w:rPr>
      <w:b/>
      <w:bCs/>
      <w:color w:val="4f81bd" w:themeColor="accent1"/>
      <w:sz w:val="18"/>
      <w:szCs w:val="18"/>
    </w:rPr>
  </w:style>
  <w:style w:type="table" w:styleId="9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9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9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9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0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0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0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0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0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0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26">
    <w:name w:val="Hyperlink"/>
    <w:uiPriority w:val="99"/>
    <w:unhideWhenUsed/>
    <w:rPr>
      <w:color w:val="0000ff" w:themeColor="hyperlink"/>
      <w:u w:val="single"/>
    </w:rPr>
  </w:style>
  <w:style w:type="paragraph" w:styleId="1027">
    <w:name w:val="footnote text"/>
    <w:basedOn w:val="865"/>
    <w:link w:val="1028"/>
    <w:uiPriority w:val="99"/>
    <w:semiHidden/>
    <w:unhideWhenUsed/>
    <w:pPr>
      <w:spacing w:after="40" w:line="240" w:lineRule="auto"/>
    </w:pPr>
    <w:rPr>
      <w:sz w:val="18"/>
    </w:rPr>
  </w:style>
  <w:style w:type="character" w:styleId="1028">
    <w:name w:val="Footnote Text Char"/>
    <w:link w:val="1027"/>
    <w:uiPriority w:val="99"/>
    <w:rPr>
      <w:sz w:val="18"/>
    </w:rPr>
  </w:style>
  <w:style w:type="character" w:styleId="1029">
    <w:name w:val="footnote reference"/>
    <w:uiPriority w:val="99"/>
    <w:unhideWhenUsed/>
    <w:rPr>
      <w:vertAlign w:val="superscript"/>
    </w:rPr>
  </w:style>
  <w:style w:type="paragraph" w:styleId="1030">
    <w:name w:val="endnote text"/>
    <w:basedOn w:val="865"/>
    <w:link w:val="1031"/>
    <w:uiPriority w:val="99"/>
    <w:semiHidden/>
    <w:unhideWhenUsed/>
    <w:pPr>
      <w:spacing w:after="0" w:line="240" w:lineRule="auto"/>
    </w:pPr>
    <w:rPr>
      <w:sz w:val="20"/>
    </w:rPr>
  </w:style>
  <w:style w:type="character" w:styleId="1031">
    <w:name w:val="Endnote Text Char"/>
    <w:link w:val="1030"/>
    <w:uiPriority w:val="99"/>
    <w:rPr>
      <w:sz w:val="20"/>
    </w:rPr>
  </w:style>
  <w:style w:type="character" w:styleId="1032">
    <w:name w:val="endnote reference"/>
    <w:uiPriority w:val="99"/>
    <w:semiHidden/>
    <w:unhideWhenUsed/>
    <w:rPr>
      <w:vertAlign w:val="superscript"/>
    </w:rPr>
  </w:style>
  <w:style w:type="paragraph" w:styleId="1033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1034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1035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1036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1037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1038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1039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1040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1041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1042">
    <w:name w:val="TOC Heading"/>
    <w:uiPriority w:val="39"/>
    <w:unhideWhenUsed/>
  </w:style>
  <w:style w:type="paragraph" w:styleId="1043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1044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45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46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047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48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049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050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051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52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053" w:default="1">
    <w:name w:val="Default Paragraph Font"/>
    <w:uiPriority w:val="1"/>
    <w:semiHidden/>
    <w:unhideWhenUsed/>
  </w:style>
  <w:style w:type="numbering" w:styleId="1054" w:default="1">
    <w:name w:val="No List"/>
    <w:uiPriority w:val="99"/>
    <w:semiHidden/>
    <w:unhideWhenUsed/>
  </w:style>
  <w:style w:type="table" w:styleId="10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s://login.consultant.ru/link/?req=doc&amp;base=LAW&amp;n=527559&amp;date=28.04.2026&amp;dst=100010&amp;field=134" TargetMode="External"/><Relationship Id="rId13" Type="http://schemas.openxmlformats.org/officeDocument/2006/relationships/hyperlink" Target="https://login.consultant.ru/link/?req=doc&amp;base=LAW&amp;n=527559&amp;date=28.04.2026&amp;dst=103549&amp;field=134" TargetMode="External"/><Relationship Id="rId14" Type="http://schemas.openxmlformats.org/officeDocument/2006/relationships/hyperlink" Target="https://login.consultant.ru/link/?req=doc&amp;base=EXP&amp;n=763941&amp;date=28.04.2026" TargetMode="External"/><Relationship Id="rId15" Type="http://schemas.openxmlformats.org/officeDocument/2006/relationships/hyperlink" Target="https://login.consultant.ru/link/?req=doc&amp;base=EXP&amp;n=763941&amp;date=28.04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Минздрава России N 31-2/И/2-6103, ФФОМС N 00-10-26-3-06/6382 от 03.04.2026
&lt;О внесении изменений в Методические рекомендации по способам оплаты медицинской помощи за счет средств обязательного медицинского страхования&gt;</dc:title>
  <cp:lastModifiedBy>tarancheva</cp:lastModifiedBy>
  <cp:revision>2</cp:revision>
  <dcterms:created xsi:type="dcterms:W3CDTF">2026-04-28T05:33:40Z</dcterms:created>
  <dcterms:modified xsi:type="dcterms:W3CDTF">2026-04-30T07:21:47Z</dcterms:modified>
</cp:coreProperties>
</file>