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spacing w:after="0" w:line="240" w:lineRule="atLeast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2023 год.</w:t>
      </w:r>
      <w:r>
        <w:rPr>
          <w:rFonts w:ascii="Times New Roman" w:hAnsi="Times New Roman" w:cs="Times New Roman"/>
          <w:spacing w:val="-5"/>
          <w:sz w:val="28"/>
          <w:szCs w:val="28"/>
        </w:rPr>
      </w:r>
    </w:p>
    <w:p>
      <w:pPr>
        <w:ind w:firstLine="567"/>
        <w:spacing w:after="0" w:line="283" w:lineRule="atLeast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</w:r>
      <w:r>
        <w:rPr>
          <w:rFonts w:ascii="Times New Roman" w:hAnsi="Times New Roman" w:cs="Times New Roman"/>
          <w:spacing w:val="-5"/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 2023 год доходы бюджета территориального фонда ОМС сложились в размере 19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059,9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что составляет 100% от утвержденных законом бюджетных назначений и 110,9% к доходам аналогичного периода 2022 года (17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183,2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бюджет территориального фонда обязательного медицинского страхования Липецкой области за этот период поступило средств в виде: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 из Федерального фонда обязательного медицинского страхования на финансовое обеспечение организации обязательного медицинского страхования в сумме 17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895,9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; 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113,2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Кроме того, дополнительно из федерального бюджета поступили средства (межбюджетные трансферты) на дополнительное финансовое обеспечение медицинской помощи в рамках террито</w:t>
      </w:r>
      <w:r>
        <w:rPr>
          <w:sz w:val="28"/>
          <w:szCs w:val="28"/>
        </w:rPr>
        <w:t xml:space="preserve">риальной программы ОМС </w:t>
      </w:r>
      <w:r>
        <w:rPr>
          <w:sz w:val="28"/>
          <w:szCs w:val="28"/>
        </w:rPr>
        <w:t xml:space="preserve">в размере 195,9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а также из областного бюджета были выделены дополнительные трансферты на финансирование медицинской помощи по профилю «онкология» в сумме 470,0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Рост сопоставимых вышеуказанных доходов фонда для финансового обеспечения реализации территориальной программы ОМС в 2023 году составил 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085,3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. или 11,7%.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рамках выполнения территориальной программы ОМС в 2023 году принято на оплату медицинской помощи в размере 18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222,8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составляет 109,9% к аналогичному показателю прошлого года, в том числе: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868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 xml:space="preserve">амбулаторной медицинской</w:t>
      </w:r>
      <w:r>
        <w:rPr>
          <w:sz w:val="28"/>
          <w:szCs w:val="28"/>
        </w:rPr>
        <w:t xml:space="preserve"> помощи утверждена в сумме 7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070,0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фактическое выполнение составило – 6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995,6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98,9% от утвержденной стоимости;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 xml:space="preserve">медицинской помощи в </w:t>
      </w:r>
      <w:r>
        <w:rPr>
          <w:sz w:val="28"/>
          <w:szCs w:val="28"/>
        </w:rPr>
        <w:t xml:space="preserve">стационарн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 </w:t>
      </w:r>
      <w:r>
        <w:rPr>
          <w:sz w:val="28"/>
          <w:szCs w:val="28"/>
        </w:rPr>
        <w:t xml:space="preserve">утверждена в сумме 8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086,8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фактическое выполнение составило 7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975,8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98,6% от утвержденной</w:t>
      </w:r>
      <w:r>
        <w:rPr>
          <w:sz w:val="28"/>
          <w:szCs w:val="28"/>
        </w:rPr>
        <w:t xml:space="preserve"> стоимости;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медицинской помощи в </w:t>
      </w:r>
      <w:r>
        <w:rPr>
          <w:sz w:val="28"/>
          <w:szCs w:val="28"/>
        </w:rPr>
        <w:t xml:space="preserve">условиях </w:t>
      </w:r>
      <w:r>
        <w:rPr>
          <w:sz w:val="28"/>
          <w:szCs w:val="28"/>
        </w:rPr>
        <w:t xml:space="preserve">дневн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стационара утверждена в сумме 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119,8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фактически выполнено – 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186,1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103,1% </w:t>
      </w:r>
      <w:r>
        <w:rPr>
          <w:sz w:val="28"/>
          <w:szCs w:val="28"/>
        </w:rPr>
        <w:t xml:space="preserve">от утвержденной стоимости;</w:t>
      </w:r>
      <w:r>
        <w:rPr>
          <w:sz w:val="28"/>
          <w:szCs w:val="28"/>
        </w:rPr>
      </w:r>
    </w:p>
    <w:p>
      <w:pPr>
        <w:pStyle w:val="868"/>
        <w:ind w:firstLine="720"/>
        <w:jc w:val="both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стоимость скорой медицинской помощи утверждена в сумме 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122,0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, фактически выполнено – 1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105,2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руб</w:t>
      </w:r>
      <w:r>
        <w:rPr>
          <w:sz w:val="28"/>
          <w:szCs w:val="28"/>
        </w:rPr>
        <w:t xml:space="preserve">лей</w:t>
      </w:r>
      <w:r>
        <w:rPr>
          <w:sz w:val="28"/>
          <w:szCs w:val="28"/>
        </w:rPr>
        <w:t xml:space="preserve"> или 98,5% от утвержденного показателя.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медицинской помощи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стационарн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условиях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на 107,8%, или на 103,7% к уровню прошлого года (212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011 случаев против 204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393 случаев в 2022 году);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амбулаторно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й медицинской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помощи – на 97,8%, или на 101,9% к уровню прошлого года (9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944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201 посещение против 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762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232 посещений в 2022 году);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медицинской помощи, оказанной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условиях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дневн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стационара всех типов - на 95,1%, или на 110,3% к уровню прошлого года (77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328 случаев против 70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136 случаев в 2022 году)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скорой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медицинской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помощи – на 84,1%, или на 91,7% к уровню аналогичного показателя прошлого года (286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862 вызовов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в прошлом году 312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678 вызовов).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Среднедушевой норматив финансирования территориальной программы ОМС сложился по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итогам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2023 года в размере 16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349,92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1 застрахованного жителя области, что составляет 103,4% от утвержденного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Программой государственных гарантий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показателя (15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808,73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и на 12,2% выше прошлогоднего показателя (14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572,60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Стоимость специализированной медицинской помощи, пациентам со злокачественными новообразованиями (ЗНО), застрахованны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территории Липецкой области в 2023 году составила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638,9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 (110% от запланированной суммы –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402,4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рублей), в том числе в стационарных условиях –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306,0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рублей, в условиях дневного стационара –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332,9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Средняя стоимость 1 случая специализированного лечения пациентов с ЗНО, застрахованных и пролеченных на территории Липецкой области за отчетный период составила в целом 64,8 тыс.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рублей, в стационарных условиях – 59,3 тыс.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рублей, в условиях дневного стационара - 73,2 тыс.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Стоимость химиотерапии, проведенной пациентам с ЗНО в 2023 году составила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685,9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рублей, в том числе в стационарных условиях - 766,5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рублей, в условиях дневного стационара – 919,4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структуре объема оказанной медицинской помощи удельный вес химиотерапии составил 74% (25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900 госпитализаций), в том числе в стационарных условиях – 66% (13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999 госпитализаций), в условиях дневного стационара – 86% (11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901 госпитализация).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результате проведенного медико-экономического контроля по пункту дефекта 1.6.3 (предъявление к оплате 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едицинской помощи сверх распределенного объема предоставления медицинской помощи, установленного решением комиссии по разработке территориальной программы ОМС) в 2023 году от оплаты отклонено 2010 случаев лечения в стационарных условиях на сумму 109,3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План диспансеризации взрослого населения 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 </w:t>
      </w:r>
      <w:r>
        <w:rPr>
          <w:rFonts w:ascii="Times New Roman" w:hAnsi="Times New Roman" w:cs="Times New Roman"/>
          <w:sz w:val="28"/>
          <w:szCs w:val="28"/>
        </w:rPr>
        <w:t xml:space="preserve">372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391</w:t>
      </w:r>
      <w:r>
        <w:rPr>
          <w:rFonts w:ascii="Times New Roman" w:hAnsi="Times New Roman" w:cs="Times New Roman"/>
          <w:sz w:val="28"/>
          <w:szCs w:val="28"/>
        </w:rPr>
        <w:t xml:space="preserve"> человек. Фактически осмотрено в рамках диспансеризации – </w:t>
      </w:r>
      <w:r>
        <w:rPr>
          <w:rFonts w:ascii="Times New Roman" w:hAnsi="Times New Roman" w:cs="Times New Roman"/>
          <w:sz w:val="28"/>
          <w:szCs w:val="28"/>
        </w:rPr>
        <w:t xml:space="preserve">401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488</w:t>
      </w:r>
      <w:r>
        <w:rPr>
          <w:rFonts w:ascii="Times New Roman" w:hAnsi="Times New Roman" w:cs="Times New Roman"/>
          <w:sz w:val="28"/>
          <w:szCs w:val="28"/>
        </w:rPr>
        <w:t xml:space="preserve"> человек или </w:t>
      </w:r>
      <w:r>
        <w:rPr>
          <w:rFonts w:ascii="Times New Roman" w:hAnsi="Times New Roman" w:cs="Times New Roman"/>
          <w:sz w:val="28"/>
          <w:szCs w:val="28"/>
        </w:rPr>
        <w:t xml:space="preserve">107,8</w:t>
      </w:r>
      <w:r>
        <w:rPr>
          <w:rFonts w:ascii="Times New Roman" w:hAnsi="Times New Roman" w:cs="Times New Roman"/>
          <w:sz w:val="28"/>
          <w:szCs w:val="28"/>
        </w:rPr>
        <w:t xml:space="preserve">% от утвержденного плана. Предъявлено счетов к оплате за проведенную диспансеризацию в рамках 1 и 2 этапа на сумму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001,6</w:t>
      </w:r>
      <w:r>
        <w:rPr>
          <w:rFonts w:ascii="Times New Roman" w:hAnsi="Times New Roman" w:cs="Times New Roman"/>
          <w:sz w:val="28"/>
          <w:szCs w:val="28"/>
        </w:rPr>
        <w:t xml:space="preserve"> млн. рублей, оплачено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001,2</w:t>
      </w:r>
      <w:r>
        <w:rPr>
          <w:rFonts w:ascii="Times New Roman" w:hAnsi="Times New Roman" w:cs="Times New Roman"/>
          <w:sz w:val="28"/>
          <w:szCs w:val="28"/>
        </w:rPr>
        <w:t xml:space="preserve"> млн. рублей. Из 30 медицинских организаций, проводивших диспансеризацию взрослого населения, не выполнили установленный план – 8, в том числе: 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«Липецкая городская больница № 3 «Свободный Сокол» - </w:t>
      </w:r>
      <w:r>
        <w:rPr>
          <w:rFonts w:ascii="Times New Roman" w:hAnsi="Times New Roman" w:cs="Times New Roman"/>
          <w:sz w:val="28"/>
          <w:szCs w:val="28"/>
        </w:rPr>
        <w:t xml:space="preserve">68,7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«Краснинская районная больница» – </w:t>
      </w:r>
      <w:r>
        <w:rPr>
          <w:rFonts w:ascii="Times New Roman" w:hAnsi="Times New Roman" w:cs="Times New Roman"/>
          <w:sz w:val="28"/>
          <w:szCs w:val="28"/>
        </w:rPr>
        <w:t xml:space="preserve">90,9</w:t>
      </w:r>
      <w:r>
        <w:rPr>
          <w:rFonts w:ascii="Times New Roman" w:hAnsi="Times New Roman" w:cs="Times New Roman"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План профилактических медицински</w:t>
      </w:r>
      <w:r>
        <w:rPr>
          <w:rFonts w:ascii="Times New Roman" w:hAnsi="Times New Roman" w:cs="Times New Roman"/>
          <w:sz w:val="28"/>
          <w:szCs w:val="28"/>
        </w:rPr>
        <w:t xml:space="preserve">х осмотров взрослого населения в </w:t>
      </w:r>
      <w:r>
        <w:rPr>
          <w:rFonts w:ascii="Times New Roman" w:hAnsi="Times New Roman" w:cs="Times New Roman"/>
          <w:sz w:val="28"/>
          <w:szCs w:val="28"/>
        </w:rPr>
        <w:t xml:space="preserve">2023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</w:rPr>
        <w:t xml:space="preserve">97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200</w:t>
      </w:r>
      <w:r>
        <w:rPr>
          <w:rFonts w:ascii="Times New Roman" w:hAnsi="Times New Roman" w:cs="Times New Roman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</w:rPr>
        <w:t xml:space="preserve">96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</w:rPr>
        <w:t xml:space="preserve">151,3</w:t>
      </w:r>
      <w:r>
        <w:rPr>
          <w:rFonts w:ascii="Times New Roman" w:hAnsi="Times New Roman" w:cs="Times New Roman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sz w:val="28"/>
          <w:szCs w:val="28"/>
        </w:rPr>
        <w:t xml:space="preserve">99,0 </w:t>
      </w:r>
      <w:r>
        <w:rPr>
          <w:rFonts w:ascii="Times New Roman" w:hAnsi="Times New Roman" w:cs="Times New Roman"/>
          <w:sz w:val="28"/>
          <w:szCs w:val="28"/>
        </w:rPr>
        <w:t xml:space="preserve">% от утвержденного плана. Из 30 медицинских организаций, проводивших профилактические медицинские осмотры взрослого населения, не выполнили установленный план – 1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, в том числе:</w:t>
      </w:r>
      <w:r/>
    </w:p>
    <w:p>
      <w:pPr>
        <w:pStyle w:val="876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«Липецкая городская больница № 4 «Липецк-Мед» - </w:t>
      </w:r>
      <w:r>
        <w:rPr>
          <w:rFonts w:ascii="Times New Roman" w:hAnsi="Times New Roman" w:cs="Times New Roman"/>
          <w:sz w:val="28"/>
          <w:szCs w:val="28"/>
        </w:rPr>
        <w:t xml:space="preserve">97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«Липецкая городская больница № 3 «Свободный Сокол» - </w:t>
      </w:r>
      <w:r>
        <w:rPr>
          <w:rFonts w:ascii="Times New Roman" w:hAnsi="Times New Roman" w:cs="Times New Roman"/>
          <w:sz w:val="28"/>
          <w:szCs w:val="28"/>
        </w:rPr>
        <w:t xml:space="preserve">67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«Воловская РБ» – </w:t>
      </w:r>
      <w:r>
        <w:rPr>
          <w:rFonts w:ascii="Times New Roman" w:hAnsi="Times New Roman" w:cs="Times New Roman"/>
          <w:sz w:val="28"/>
          <w:szCs w:val="28"/>
        </w:rPr>
        <w:t xml:space="preserve">82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«Долгоруковская РБ» – </w:t>
      </w:r>
      <w:r>
        <w:rPr>
          <w:rFonts w:ascii="Times New Roman" w:hAnsi="Times New Roman" w:cs="Times New Roman"/>
          <w:sz w:val="28"/>
          <w:szCs w:val="28"/>
        </w:rPr>
        <w:t xml:space="preserve">96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«Краснинская РБ» – </w:t>
      </w:r>
      <w:r>
        <w:rPr>
          <w:rFonts w:ascii="Times New Roman" w:hAnsi="Times New Roman" w:cs="Times New Roman"/>
          <w:sz w:val="28"/>
          <w:szCs w:val="28"/>
        </w:rPr>
        <w:t xml:space="preserve">90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ГУЗ «Елецкая РБ» – </w:t>
      </w:r>
      <w:r>
        <w:rPr>
          <w:rFonts w:ascii="Times New Roman" w:hAnsi="Times New Roman" w:cs="Times New Roman"/>
          <w:sz w:val="28"/>
          <w:szCs w:val="28"/>
        </w:rPr>
        <w:t xml:space="preserve">95</w:t>
      </w:r>
      <w:r>
        <w:rPr>
          <w:rFonts w:ascii="Times New Roman" w:hAnsi="Times New Roman" w:cs="Times New Roman"/>
          <w:sz w:val="28"/>
          <w:szCs w:val="28"/>
        </w:rPr>
        <w:t xml:space="preserve">%;</w:t>
      </w:r>
      <w:r/>
    </w:p>
    <w:p>
      <w:pPr>
        <w:pStyle w:val="876"/>
        <w:ind w:firstLine="709"/>
        <w:jc w:val="both"/>
        <w:spacing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ГУЗ «</w:t>
      </w:r>
      <w:r>
        <w:rPr>
          <w:rFonts w:ascii="Times New Roman" w:hAnsi="Times New Roman" w:cs="Times New Roman"/>
          <w:sz w:val="28"/>
          <w:szCs w:val="28"/>
        </w:rPr>
        <w:t xml:space="preserve">Становлянская </w:t>
      </w:r>
      <w:r>
        <w:rPr>
          <w:rFonts w:ascii="Times New Roman" w:hAnsi="Times New Roman" w:cs="Times New Roman"/>
          <w:sz w:val="28"/>
          <w:szCs w:val="28"/>
        </w:rPr>
        <w:t xml:space="preserve">РБ» – 8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План профилактических медицинских осмотров несовершеннолетних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</w:rPr>
        <w:t xml:space="preserve">203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172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. Фактически осмотрено </w:t>
      </w:r>
      <w:r>
        <w:rPr>
          <w:rFonts w:ascii="Times New Roman" w:hAnsi="Times New Roman" w:cs="Times New Roman"/>
          <w:sz w:val="28"/>
          <w:szCs w:val="28"/>
        </w:rPr>
        <w:t xml:space="preserve">179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291</w:t>
      </w:r>
      <w:r>
        <w:rPr>
          <w:rFonts w:ascii="Times New Roman" w:hAnsi="Times New Roman" w:cs="Times New Roman"/>
          <w:sz w:val="28"/>
          <w:szCs w:val="28"/>
        </w:rPr>
        <w:t xml:space="preserve"> человек на сумму </w:t>
      </w:r>
      <w:r>
        <w:rPr>
          <w:rFonts w:ascii="Times New Roman" w:hAnsi="Times New Roman" w:cs="Times New Roman"/>
          <w:sz w:val="28"/>
          <w:szCs w:val="28"/>
        </w:rPr>
        <w:t xml:space="preserve">579,0</w:t>
      </w:r>
      <w:r>
        <w:rPr>
          <w:rFonts w:ascii="Times New Roman" w:hAnsi="Times New Roman" w:cs="Times New Roman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sz w:val="28"/>
          <w:szCs w:val="28"/>
        </w:rPr>
        <w:t xml:space="preserve">88,2</w:t>
      </w:r>
      <w:r>
        <w:rPr>
          <w:rFonts w:ascii="Times New Roman" w:hAnsi="Times New Roman" w:cs="Times New Roman"/>
          <w:sz w:val="28"/>
          <w:szCs w:val="28"/>
        </w:rPr>
        <w:t xml:space="preserve">% от утвержденного плана. Из 23 медицинских организаций, проводивших профилактические медицинские осмотры несовершеннолетних, выполнили установленный план только 2.</w:t>
      </w:r>
      <w:r/>
    </w:p>
    <w:p>
      <w:pPr>
        <w:pStyle w:val="876"/>
        <w:ind w:firstLine="709"/>
        <w:jc w:val="both"/>
        <w:spacing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План диспансеризации детей-сирот, усыновленных и принятых под опеку,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567</w:t>
      </w:r>
      <w:r>
        <w:rPr>
          <w:rFonts w:ascii="Times New Roman" w:hAnsi="Times New Roman" w:cs="Times New Roman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630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 xml:space="preserve">7,2</w:t>
      </w:r>
      <w:r>
        <w:rPr>
          <w:rFonts w:ascii="Times New Roman" w:hAnsi="Times New Roman" w:cs="Times New Roman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sz w:val="28"/>
          <w:szCs w:val="28"/>
        </w:rPr>
        <w:t xml:space="preserve">104,0</w:t>
      </w:r>
      <w:r>
        <w:rPr>
          <w:rFonts w:ascii="Times New Roman" w:hAnsi="Times New Roman" w:cs="Times New Roman"/>
          <w:sz w:val="28"/>
          <w:szCs w:val="28"/>
        </w:rPr>
        <w:t xml:space="preserve">% от утвержденного плана.</w:t>
      </w:r>
      <w:r/>
    </w:p>
    <w:p>
      <w:pPr>
        <w:pStyle w:val="876"/>
        <w:ind w:firstLine="709"/>
        <w:jc w:val="both"/>
        <w:spacing w:line="283" w:lineRule="atLeast"/>
        <w:tabs>
          <w:tab w:val="left" w:pos="6397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План диспансеризации детей-сирот, пребывающих в стационарных учреждениях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2023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>
        <w:rPr>
          <w:rFonts w:ascii="Times New Roman" w:hAnsi="Times New Roman" w:cs="Times New Roman"/>
          <w:sz w:val="28"/>
          <w:szCs w:val="28"/>
        </w:rPr>
        <w:t xml:space="preserve">857</w:t>
      </w:r>
      <w:r>
        <w:rPr>
          <w:rFonts w:ascii="Times New Roman" w:hAnsi="Times New Roman" w:cs="Times New Roman"/>
          <w:sz w:val="28"/>
          <w:szCs w:val="28"/>
        </w:rPr>
        <w:t xml:space="preserve"> человек. Фактически осмотрено </w:t>
      </w:r>
      <w:r>
        <w:rPr>
          <w:rFonts w:ascii="Times New Roman" w:hAnsi="Times New Roman" w:cs="Times New Roman"/>
          <w:sz w:val="28"/>
          <w:szCs w:val="28"/>
        </w:rPr>
        <w:t xml:space="preserve">786</w:t>
      </w:r>
      <w:r>
        <w:rPr>
          <w:rFonts w:ascii="Times New Roman" w:hAnsi="Times New Roman" w:cs="Times New Roman"/>
          <w:sz w:val="28"/>
          <w:szCs w:val="28"/>
        </w:rPr>
        <w:t xml:space="preserve"> человек на сумму 3,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млн. рублей, что составило </w:t>
      </w:r>
      <w:r>
        <w:rPr>
          <w:rFonts w:ascii="Times New Roman" w:hAnsi="Times New Roman" w:cs="Times New Roman"/>
          <w:sz w:val="28"/>
          <w:szCs w:val="28"/>
        </w:rPr>
        <w:t xml:space="preserve">92,0</w:t>
      </w:r>
      <w:r>
        <w:rPr>
          <w:rFonts w:ascii="Times New Roman" w:hAnsi="Times New Roman" w:cs="Times New Roman"/>
          <w:sz w:val="28"/>
          <w:szCs w:val="28"/>
        </w:rPr>
        <w:t xml:space="preserve">% от утвержденного плана.</w:t>
      </w:r>
      <w:r/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Число пациентов, подлежащих диспансерному наблюдению за отчетный период составило 198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464 человека. Прошли диспансерное наблюдение 168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472 человека или 85% от планового показателя. Всего оплачено реестров счетов в рамках диспансерного наблюдения в 2023 году на сумму 311,2 млн.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За 2023 год медицинскими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предъявлено и оплачено счетов и реестров</w:t>
      </w:r>
      <w:r>
        <w:rPr>
          <w:rFonts w:ascii="Times New Roman" w:hAnsi="Times New Roman" w:cs="Times New Roman"/>
          <w:sz w:val="28"/>
          <w:szCs w:val="28"/>
        </w:rPr>
        <w:t xml:space="preserve"> счетов</w:t>
      </w:r>
      <w:r>
        <w:rPr>
          <w:rFonts w:ascii="Times New Roman" w:hAnsi="Times New Roman" w:cs="Times New Roman"/>
          <w:sz w:val="28"/>
          <w:szCs w:val="28"/>
        </w:rPr>
        <w:t xml:space="preserve"> за оказанную медицинскую</w:t>
      </w:r>
      <w:r>
        <w:rPr>
          <w:rFonts w:ascii="Times New Roman" w:hAnsi="Times New Roman" w:cs="Times New Roman"/>
          <w:sz w:val="28"/>
          <w:szCs w:val="28"/>
        </w:rPr>
        <w:t xml:space="preserve"> помощь 30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195</w:t>
      </w:r>
      <w:r>
        <w:rPr>
          <w:rFonts w:ascii="Times New Roman" w:hAnsi="Times New Roman" w:cs="Times New Roman"/>
          <w:sz w:val="28"/>
          <w:szCs w:val="28"/>
        </w:rPr>
        <w:t xml:space="preserve"> иног</w:t>
      </w:r>
      <w:r>
        <w:rPr>
          <w:rFonts w:ascii="Times New Roman" w:hAnsi="Times New Roman" w:cs="Times New Roman"/>
          <w:sz w:val="28"/>
          <w:szCs w:val="28"/>
        </w:rPr>
        <w:t xml:space="preserve">ороднему пациенту на сумму 422,3</w:t>
      </w:r>
      <w:r>
        <w:rPr>
          <w:rFonts w:ascii="Times New Roman" w:hAnsi="Times New Roman" w:cs="Times New Roman"/>
          <w:sz w:val="28"/>
          <w:szCs w:val="28"/>
        </w:rPr>
        <w:t xml:space="preserve"> млн. рублей. 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едицинскими организациями Лип</w:t>
      </w:r>
      <w:r>
        <w:rPr>
          <w:rFonts w:ascii="Times New Roman" w:hAnsi="Times New Roman" w:cs="Times New Roman"/>
          <w:sz w:val="28"/>
          <w:szCs w:val="28"/>
        </w:rPr>
        <w:t xml:space="preserve">ецкой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иногородним пациентам оказана медицинская помощь по следующим основным профилям:</w:t>
      </w:r>
      <w:r/>
    </w:p>
    <w:p>
      <w:pPr>
        <w:pStyle w:val="870"/>
        <w:ind w:left="0" w:firstLine="708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акушерство и гинекология – 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607 случаев на сумму 23,0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офтальмология – 13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221 случай на сумму 141,8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0"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онкол</w:t>
      </w:r>
      <w:r>
        <w:rPr>
          <w:rFonts w:ascii="Times New Roman" w:hAnsi="Times New Roman" w:cs="Times New Roman"/>
          <w:sz w:val="28"/>
          <w:szCs w:val="28"/>
        </w:rPr>
        <w:t xml:space="preserve">огия - 971 случай на сумму 23,7</w:t>
      </w:r>
      <w:r>
        <w:rPr>
          <w:rFonts w:ascii="Times New Roman" w:hAnsi="Times New Roman" w:cs="Times New Roman"/>
          <w:sz w:val="28"/>
          <w:szCs w:val="28"/>
        </w:rPr>
        <w:t xml:space="preserve"> млн. р</w:t>
      </w:r>
      <w:r>
        <w:rPr>
          <w:rFonts w:ascii="Times New Roman" w:hAnsi="Times New Roman" w:cs="Times New Roman"/>
          <w:sz w:val="28"/>
          <w:szCs w:val="28"/>
        </w:rPr>
        <w:t xml:space="preserve">ублей (в т.ч. химиотерапия - 248 случаев на сумму 15,8</w:t>
      </w:r>
      <w:r>
        <w:rPr>
          <w:rFonts w:ascii="Times New Roman" w:hAnsi="Times New Roman" w:cs="Times New Roman"/>
          <w:sz w:val="28"/>
          <w:szCs w:val="28"/>
        </w:rPr>
        <w:t xml:space="preserve"> млн. рублей);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кардиология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184</w:t>
      </w:r>
      <w:r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на сумму 21,4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нефрология – 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102</w:t>
      </w:r>
      <w:r>
        <w:rPr>
          <w:rFonts w:ascii="Times New Roman" w:hAnsi="Times New Roman" w:cs="Times New Roman"/>
          <w:sz w:val="28"/>
          <w:szCs w:val="28"/>
        </w:rPr>
        <w:t xml:space="preserve"> случая на сумму </w:t>
      </w:r>
      <w:r>
        <w:rPr>
          <w:rFonts w:ascii="Times New Roman" w:hAnsi="Times New Roman" w:cs="Times New Roman"/>
          <w:sz w:val="28"/>
          <w:szCs w:val="28"/>
        </w:rPr>
        <w:t xml:space="preserve">15,8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неврология –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578</w:t>
      </w:r>
      <w:r>
        <w:rPr>
          <w:rFonts w:ascii="Times New Roman" w:hAnsi="Times New Roman" w:cs="Times New Roman"/>
          <w:sz w:val="28"/>
          <w:szCs w:val="28"/>
        </w:rPr>
        <w:t xml:space="preserve"> случаев на сумму </w:t>
      </w:r>
      <w:r>
        <w:rPr>
          <w:rFonts w:ascii="Times New Roman" w:hAnsi="Times New Roman" w:cs="Times New Roman"/>
          <w:sz w:val="28"/>
          <w:szCs w:val="28"/>
        </w:rPr>
        <w:t xml:space="preserve">20,0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травматология и ортопедия – </w:t>
      </w:r>
      <w:r>
        <w:rPr>
          <w:rFonts w:ascii="Times New Roman" w:hAnsi="Times New Roman" w:cs="Times New Roman"/>
          <w:sz w:val="28"/>
          <w:szCs w:val="28"/>
        </w:rPr>
        <w:t xml:space="preserve">3 247 </w:t>
      </w:r>
      <w:r>
        <w:rPr>
          <w:rFonts w:ascii="Times New Roman" w:hAnsi="Times New Roman" w:cs="Times New Roman"/>
          <w:sz w:val="28"/>
          <w:szCs w:val="28"/>
        </w:rPr>
        <w:t xml:space="preserve">случаев на сумму </w:t>
      </w:r>
      <w:r>
        <w:rPr>
          <w:rFonts w:ascii="Times New Roman" w:hAnsi="Times New Roman" w:cs="Times New Roman"/>
          <w:sz w:val="28"/>
          <w:szCs w:val="28"/>
        </w:rPr>
        <w:t xml:space="preserve">16,5</w:t>
      </w:r>
      <w:r>
        <w:rPr>
          <w:rFonts w:ascii="Times New Roman" w:hAnsi="Times New Roman" w:cs="Times New Roman"/>
          <w:sz w:val="28"/>
          <w:szCs w:val="28"/>
        </w:rPr>
        <w:t xml:space="preserve"> млн. рублей.</w:t>
      </w:r>
      <w:r/>
    </w:p>
    <w:p>
      <w:pPr>
        <w:pStyle w:val="868"/>
        <w:ind w:firstLine="709"/>
        <w:jc w:val="both"/>
        <w:spacing w:after="0" w:line="283" w:lineRule="atLeast"/>
      </w:pPr>
      <w:r>
        <w:rPr>
          <w:sz w:val="28"/>
          <w:szCs w:val="28"/>
        </w:rPr>
        <w:t xml:space="preserve">За 2023 год</w:t>
      </w:r>
      <w:r>
        <w:rPr>
          <w:sz w:val="28"/>
          <w:szCs w:val="28"/>
        </w:rPr>
        <w:t xml:space="preserve"> территориальными фондами ОМС других субъектов РФ предъявлено счетов и реестров счетов за оказанную медицинскую помощь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226 пациентам, застрахованным на территории Липецкой</w:t>
      </w:r>
      <w:r>
        <w:rPr>
          <w:sz w:val="28"/>
          <w:szCs w:val="28"/>
        </w:rPr>
        <w:t xml:space="preserve"> области на сумму </w:t>
      </w:r>
      <w:r>
        <w:rPr>
          <w:sz w:val="28"/>
          <w:szCs w:val="28"/>
        </w:rPr>
        <w:t xml:space="preserve">982,7</w:t>
      </w:r>
      <w:r>
        <w:rPr>
          <w:sz w:val="28"/>
          <w:szCs w:val="28"/>
        </w:rPr>
        <w:t xml:space="preserve"> млн. рублей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из них оплачено с учетом остат</w:t>
      </w:r>
      <w:r>
        <w:rPr>
          <w:sz w:val="28"/>
          <w:szCs w:val="28"/>
        </w:rPr>
        <w:t xml:space="preserve">ков на начало года</w:t>
      </w:r>
      <w:r>
        <w:rPr>
          <w:sz w:val="28"/>
          <w:szCs w:val="28"/>
        </w:rPr>
        <w:t xml:space="preserve">- 850,0 млн.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ублей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в том числе по высокотехнологичной медицинской помощи – </w:t>
      </w:r>
      <w:r>
        <w:rPr>
          <w:sz w:val="28"/>
          <w:szCs w:val="28"/>
        </w:rPr>
        <w:t xml:space="preserve">134,6</w:t>
      </w:r>
      <w:r>
        <w:rPr>
          <w:sz w:val="28"/>
          <w:szCs w:val="28"/>
        </w:rPr>
        <w:t xml:space="preserve"> млн. рублей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Медицинскими организациями </w:t>
      </w:r>
      <w:r>
        <w:rPr>
          <w:rFonts w:ascii="Times New Roman" w:hAnsi="Times New Roman" w:cs="Times New Roman"/>
          <w:sz w:val="28"/>
          <w:szCs w:val="28"/>
        </w:rPr>
        <w:t xml:space="preserve">других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пациентам</w:t>
      </w:r>
      <w:r>
        <w:rPr>
          <w:rFonts w:ascii="Times New Roman" w:hAnsi="Times New Roman" w:cs="Times New Roman"/>
          <w:sz w:val="28"/>
          <w:szCs w:val="28"/>
        </w:rPr>
        <w:t xml:space="preserve">, застрахованным на территории Липецкой о</w:t>
      </w:r>
      <w:r>
        <w:rPr>
          <w:rFonts w:ascii="Times New Roman" w:hAnsi="Times New Roman" w:cs="Times New Roman"/>
          <w:sz w:val="28"/>
          <w:szCs w:val="28"/>
        </w:rPr>
        <w:t xml:space="preserve">бласти, медицинская помощь </w:t>
      </w:r>
      <w:r>
        <w:rPr>
          <w:rFonts w:ascii="Times New Roman" w:hAnsi="Times New Roman" w:cs="Times New Roman"/>
          <w:sz w:val="28"/>
          <w:szCs w:val="28"/>
        </w:rPr>
        <w:t xml:space="preserve">оказана по следующим основным профилям:</w:t>
      </w:r>
      <w:r/>
    </w:p>
    <w:p>
      <w:pPr>
        <w:pStyle w:val="870"/>
        <w:ind w:left="0" w:firstLine="708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cs="Times New Roman"/>
          <w:sz w:val="28"/>
          <w:szCs w:val="28"/>
        </w:rPr>
        <w:t xml:space="preserve">акушерство и гинекология – 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391 случай на сумму 26,1 млн. рублей (в т.ч. ЭКО - 43 случая на сумму 5,2 </w:t>
      </w:r>
      <w:r>
        <w:rPr>
          <w:rFonts w:ascii="Times New Roman" w:hAnsi="Times New Roman" w:cs="Times New Roman"/>
          <w:sz w:val="28"/>
          <w:szCs w:val="28"/>
        </w:rPr>
        <w:t xml:space="preserve">млн. рублей);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офтальмология – 6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427 случаев на сумму 39,0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онкология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случая на сумму 425,4 </w:t>
      </w:r>
      <w:r>
        <w:rPr>
          <w:rFonts w:ascii="Times New Roman" w:hAnsi="Times New Roman" w:cs="Times New Roman"/>
          <w:sz w:val="28"/>
          <w:szCs w:val="28"/>
        </w:rPr>
        <w:t xml:space="preserve">млн. рублей (в т.ч. - </w:t>
      </w:r>
      <w:r/>
    </w:p>
    <w:p>
      <w:pPr>
        <w:pStyle w:val="870"/>
        <w:ind w:left="0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химиотерапия – 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054 случая на сумму 302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млн. рублей);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кардиология – 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545 случаев на сумму 20,5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инфекционные болезни - 870 случаев на сумму 15,9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неврология – 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890 случаев на сумму 19,8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се</w:t>
      </w:r>
      <w:r>
        <w:rPr>
          <w:rFonts w:ascii="Times New Roman" w:hAnsi="Times New Roman" w:cs="Times New Roman"/>
          <w:sz w:val="28"/>
          <w:szCs w:val="28"/>
        </w:rPr>
        <w:t xml:space="preserve">рдечно-сосудистая хирургия - 859 случаев на сумму 70,5</w:t>
      </w:r>
      <w:r>
        <w:rPr>
          <w:rFonts w:ascii="Times New Roman" w:hAnsi="Times New Roman" w:cs="Times New Roman"/>
          <w:sz w:val="28"/>
          <w:szCs w:val="28"/>
        </w:rPr>
        <w:t xml:space="preserve"> млн. рублей;</w:t>
      </w:r>
      <w:r/>
    </w:p>
    <w:p>
      <w:pPr>
        <w:pStyle w:val="870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т</w:t>
      </w:r>
      <w:r>
        <w:rPr>
          <w:rFonts w:ascii="Times New Roman" w:hAnsi="Times New Roman" w:cs="Times New Roman"/>
          <w:sz w:val="28"/>
          <w:szCs w:val="28"/>
        </w:rPr>
        <w:t xml:space="preserve">равматология и ортопедия – 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812 случаев на сумму 137,6 млн. 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нейрохирургия – 389 случаев на сумму 18,6 млн. рублей;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left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-медицинская реабилитация – 243 случая на сумму 15,4 млн. рублей.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left="0"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left="0"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Расходы медицинских организаций за 2023 год составили 18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115,1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выше показателя прошлого года на 9,4% или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557,9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(16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557,2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), в том числе: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 на оплату труда с начислениями – 12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304,9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составляет 114,9% от уровня прошлого года (10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712,4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 оплата за медикаменты – 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275,2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ниже уровня прошлого года (3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445,5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 оплата за продукты питания – 214,2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ниже показателя прошлого года на 3,6% (222,3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расходы на арендную плату за пользование имуществом – 294,8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выше уровня прошлого года на 6,4% (277,0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оплата коммунальных услуг – 522,5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что выше уровня прошлого года на 9,7% (476,2 млн.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). 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67,9%, при этом темпы роста данных расходов в сравнении с предыдущим периодом превышают темпы роста по другим видам расходов.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Средняя заработная плата работников государственных медицинских организаций Липецкой области в системе ОМС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2023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составила 40,</w:t>
      </w:r>
      <w:r>
        <w:rPr>
          <w:rFonts w:ascii="Times New Roman" w:hAnsi="Times New Roman" w:cs="Times New Roman"/>
          <w:sz w:val="28"/>
          <w:szCs w:val="28"/>
        </w:rPr>
        <w:t xml:space="preserve">54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что на 13,2% выше аналогичного показателя прошлого года (35,</w:t>
      </w:r>
      <w:r>
        <w:rPr>
          <w:rFonts w:ascii="Times New Roman" w:hAnsi="Times New Roman" w:cs="Times New Roman"/>
          <w:sz w:val="28"/>
          <w:szCs w:val="28"/>
        </w:rPr>
        <w:t xml:space="preserve">80</w:t>
      </w:r>
      <w:r>
        <w:rPr>
          <w:rFonts w:ascii="Times New Roman" w:hAnsi="Times New Roman" w:cs="Times New Roman"/>
          <w:sz w:val="28"/>
          <w:szCs w:val="28"/>
        </w:rPr>
        <w:t xml:space="preserve"> тыс. рублей) в том числе: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</w:t>
      </w:r>
      <w:r>
        <w:rPr>
          <w:rFonts w:ascii="Times New Roman" w:hAnsi="Times New Roman" w:cs="Times New Roman"/>
          <w:sz w:val="28"/>
          <w:szCs w:val="28"/>
        </w:rPr>
        <w:t xml:space="preserve">16,0</w:t>
      </w:r>
      <w:r>
        <w:rPr>
          <w:rFonts w:ascii="Times New Roman" w:hAnsi="Times New Roman" w:cs="Times New Roman"/>
          <w:sz w:val="28"/>
          <w:szCs w:val="28"/>
        </w:rPr>
        <w:t xml:space="preserve">% и составила </w:t>
      </w:r>
      <w:r>
        <w:rPr>
          <w:rFonts w:ascii="Times New Roman" w:hAnsi="Times New Roman" w:cs="Times New Roman"/>
          <w:sz w:val="28"/>
          <w:szCs w:val="28"/>
        </w:rPr>
        <w:t xml:space="preserve">43,16</w:t>
      </w:r>
      <w:r>
        <w:rPr>
          <w:rFonts w:ascii="Times New Roman" w:hAnsi="Times New Roman" w:cs="Times New Roman"/>
          <w:sz w:val="28"/>
          <w:szCs w:val="28"/>
        </w:rPr>
        <w:t xml:space="preserve"> тыс. рублей (2022 год – 37,</w:t>
      </w:r>
      <w:r>
        <w:rPr>
          <w:rFonts w:ascii="Times New Roman" w:hAnsi="Times New Roman" w:cs="Times New Roman"/>
          <w:sz w:val="28"/>
          <w:szCs w:val="28"/>
        </w:rPr>
        <w:t xml:space="preserve">22</w:t>
      </w:r>
      <w:r>
        <w:rPr>
          <w:rFonts w:ascii="Times New Roman" w:hAnsi="Times New Roman" w:cs="Times New Roman"/>
          <w:sz w:val="28"/>
          <w:szCs w:val="28"/>
        </w:rPr>
        <w:t xml:space="preserve"> тыс. рублей);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в стационарном звене рост средней зарплаты медицинских работников составил </w:t>
      </w:r>
      <w:r>
        <w:rPr>
          <w:rFonts w:ascii="Times New Roman" w:hAnsi="Times New Roman" w:cs="Times New Roman"/>
          <w:sz w:val="28"/>
          <w:szCs w:val="28"/>
        </w:rPr>
        <w:t xml:space="preserve">12,8</w:t>
      </w:r>
      <w:r>
        <w:rPr>
          <w:rFonts w:ascii="Times New Roman" w:hAnsi="Times New Roman" w:cs="Times New Roman"/>
          <w:sz w:val="28"/>
          <w:szCs w:val="28"/>
        </w:rPr>
        <w:t xml:space="preserve"> % - </w:t>
      </w:r>
      <w:r>
        <w:rPr>
          <w:rFonts w:ascii="Times New Roman" w:hAnsi="Times New Roman" w:cs="Times New Roman"/>
          <w:sz w:val="28"/>
          <w:szCs w:val="28"/>
        </w:rPr>
        <w:t xml:space="preserve">53,01</w:t>
      </w:r>
      <w:r>
        <w:rPr>
          <w:rFonts w:ascii="Times New Roman" w:hAnsi="Times New Roman" w:cs="Times New Roman"/>
          <w:sz w:val="28"/>
          <w:szCs w:val="28"/>
        </w:rPr>
        <w:t xml:space="preserve"> тыс. рублей (2022 год – 46,</w:t>
      </w:r>
      <w:r>
        <w:rPr>
          <w:rFonts w:ascii="Times New Roman" w:hAnsi="Times New Roman" w:cs="Times New Roman"/>
          <w:sz w:val="28"/>
          <w:szCs w:val="28"/>
        </w:rPr>
        <w:t xml:space="preserve">97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рублей);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- в подразделениях скорой </w:t>
      </w:r>
      <w:r>
        <w:rPr>
          <w:rFonts w:ascii="Times New Roman" w:hAnsi="Times New Roman" w:cs="Times New Roman"/>
          <w:sz w:val="28"/>
          <w:szCs w:val="28"/>
        </w:rPr>
        <w:t xml:space="preserve">медицинской </w:t>
      </w:r>
      <w:r>
        <w:rPr>
          <w:rFonts w:ascii="Times New Roman" w:hAnsi="Times New Roman" w:cs="Times New Roman"/>
          <w:sz w:val="28"/>
          <w:szCs w:val="28"/>
        </w:rPr>
        <w:t xml:space="preserve">помощи средняя зарплата медицинских работников из средств ОМС составила </w:t>
      </w:r>
      <w:r>
        <w:rPr>
          <w:rFonts w:ascii="Times New Roman" w:hAnsi="Times New Roman" w:cs="Times New Roman"/>
          <w:sz w:val="28"/>
          <w:szCs w:val="28"/>
        </w:rPr>
        <w:t xml:space="preserve">49,77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рост – </w:t>
      </w:r>
      <w:r>
        <w:rPr>
          <w:rFonts w:ascii="Times New Roman" w:hAnsi="Times New Roman" w:cs="Times New Roman"/>
          <w:sz w:val="28"/>
          <w:szCs w:val="28"/>
        </w:rPr>
        <w:t xml:space="preserve">23,3</w:t>
      </w:r>
      <w:r>
        <w:rPr>
          <w:rFonts w:ascii="Times New Roman" w:hAnsi="Times New Roman" w:cs="Times New Roman"/>
          <w:sz w:val="28"/>
          <w:szCs w:val="28"/>
        </w:rPr>
        <w:t xml:space="preserve"> % (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022 год – </w:t>
      </w:r>
      <w:r>
        <w:rPr>
          <w:rFonts w:ascii="Times New Roman" w:hAnsi="Times New Roman" w:cs="Times New Roman"/>
          <w:sz w:val="28"/>
          <w:szCs w:val="28"/>
        </w:rPr>
        <w:t xml:space="preserve">40,36</w:t>
      </w:r>
      <w:r>
        <w:rPr>
          <w:rFonts w:ascii="Times New Roman" w:hAnsi="Times New Roman" w:cs="Times New Roman"/>
          <w:sz w:val="28"/>
          <w:szCs w:val="28"/>
        </w:rPr>
        <w:t xml:space="preserve"> тыс. рублей).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средняя заработная плата по категориям персонала </w:t>
      </w:r>
      <w:r>
        <w:rPr>
          <w:rFonts w:ascii="Times New Roman" w:hAnsi="Times New Roman" w:cs="Times New Roman"/>
          <w:sz w:val="28"/>
          <w:szCs w:val="28"/>
        </w:rPr>
        <w:t xml:space="preserve">по сравнению с прошл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  <w:t xml:space="preserve">ом</w:t>
      </w:r>
      <w:r>
        <w:rPr>
          <w:rFonts w:ascii="Times New Roman" w:hAnsi="Times New Roman" w:cs="Times New Roman"/>
          <w:sz w:val="28"/>
          <w:szCs w:val="28"/>
        </w:rPr>
        <w:t xml:space="preserve"> сложилась следующим образом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eastAsia="Calibri" w:cs="Times New Roman"/>
          <w:sz w:val="28"/>
          <w:szCs w:val="28"/>
        </w:rPr>
        <w:t xml:space="preserve">- по врачебным кадрам средняя зарплата увеличилась на 12,</w:t>
      </w:r>
      <w:r>
        <w:rPr>
          <w:rFonts w:ascii="Times New Roman" w:hAnsi="Times New Roman" w:eastAsia="Calibri" w:cs="Times New Roman"/>
          <w:sz w:val="28"/>
          <w:szCs w:val="28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</w:rPr>
        <w:t xml:space="preserve">% и составила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75,84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(</w:t>
      </w:r>
      <w:r>
        <w:rPr>
          <w:rFonts w:ascii="Times New Roman" w:hAnsi="Times New Roman" w:eastAsia="Calibri" w:cs="Times New Roman"/>
          <w:sz w:val="28"/>
          <w:szCs w:val="28"/>
        </w:rPr>
        <w:t xml:space="preserve">67,33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2022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eastAsia="Calibri" w:cs="Times New Roman"/>
          <w:sz w:val="28"/>
          <w:szCs w:val="28"/>
        </w:rPr>
        <w:t xml:space="preserve">- по среднему медперсоналу рост средней зарплаты составил 15,</w:t>
      </w:r>
      <w:r>
        <w:rPr>
          <w:rFonts w:ascii="Times New Roman" w:hAnsi="Times New Roman" w:eastAsia="Calibri" w:cs="Times New Roman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</w:rPr>
        <w:t xml:space="preserve"> % -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40,14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</w:rPr>
        <w:t xml:space="preserve"> (34,</w:t>
      </w:r>
      <w:r>
        <w:rPr>
          <w:rFonts w:ascii="Times New Roman" w:hAnsi="Times New Roman" w:cs="Times New Roman"/>
          <w:sz w:val="28"/>
          <w:szCs w:val="28"/>
        </w:rPr>
        <w:t xml:space="preserve">90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eastAsia="Calibri" w:cs="Times New Roman"/>
          <w:sz w:val="28"/>
          <w:szCs w:val="28"/>
        </w:rPr>
        <w:t xml:space="preserve">- по младшему медицинскому персоналу средняя зарплата увеличилась на 13,</w:t>
      </w:r>
      <w:r>
        <w:rPr>
          <w:rFonts w:ascii="Times New Roman" w:hAnsi="Times New Roman" w:eastAsia="Calibri" w:cs="Times New Roman"/>
          <w:sz w:val="28"/>
          <w:szCs w:val="28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</w:rPr>
        <w:t xml:space="preserve">% и составила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37,78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33,43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2022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eastAsia="Calibri" w:cs="Times New Roman"/>
          <w:sz w:val="28"/>
          <w:szCs w:val="28"/>
        </w:rPr>
        <w:t xml:space="preserve">- по прочему персоналу рост средней зарплаты составил </w:t>
      </w:r>
      <w:r>
        <w:rPr>
          <w:rFonts w:ascii="Times New Roman" w:hAnsi="Times New Roman" w:eastAsia="Calibri" w:cs="Times New Roman"/>
          <w:sz w:val="28"/>
          <w:szCs w:val="28"/>
        </w:rPr>
        <w:t xml:space="preserve">9,4</w:t>
      </w:r>
      <w:r>
        <w:rPr>
          <w:rFonts w:ascii="Times New Roman" w:hAnsi="Times New Roman" w:eastAsia="Calibri" w:cs="Times New Roman"/>
          <w:sz w:val="28"/>
          <w:szCs w:val="28"/>
        </w:rPr>
        <w:t xml:space="preserve">% - 24,</w:t>
      </w:r>
      <w:r>
        <w:rPr>
          <w:rFonts w:ascii="Times New Roman" w:hAnsi="Times New Roman" w:eastAsia="Calibri" w:cs="Times New Roman"/>
          <w:sz w:val="28"/>
          <w:szCs w:val="28"/>
        </w:rPr>
        <w:t xml:space="preserve">79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рублей</w:t>
      </w:r>
      <w:r>
        <w:rPr>
          <w:rFonts w:ascii="Times New Roman" w:hAnsi="Times New Roman" w:cs="Times New Roman"/>
          <w:sz w:val="28"/>
          <w:szCs w:val="28"/>
        </w:rPr>
        <w:t xml:space="preserve"> (22,</w:t>
      </w:r>
      <w:r>
        <w:rPr>
          <w:rFonts w:ascii="Times New Roman" w:hAnsi="Times New Roman" w:cs="Times New Roman"/>
          <w:sz w:val="28"/>
          <w:szCs w:val="28"/>
        </w:rPr>
        <w:t xml:space="preserve">67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/>
    </w:p>
    <w:p>
      <w:pPr>
        <w:ind w:firstLine="709"/>
        <w:jc w:val="both"/>
        <w:spacing w:after="0" w:line="283" w:lineRule="atLeast"/>
      </w:pPr>
      <w:r>
        <w:rPr>
          <w:rFonts w:ascii="Times New Roman" w:hAnsi="Times New Roman" w:eastAsia="Calibri" w:cs="Times New Roman"/>
          <w:sz w:val="28"/>
          <w:szCs w:val="28"/>
        </w:rPr>
        <w:t xml:space="preserve">- по АУП средняя зарплата увеличилась 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6,1</w:t>
      </w:r>
      <w:r>
        <w:rPr>
          <w:rFonts w:ascii="Times New Roman" w:hAnsi="Times New Roman" w:eastAsia="Calibri" w:cs="Times New Roman"/>
          <w:sz w:val="28"/>
          <w:szCs w:val="28"/>
        </w:rPr>
        <w:t xml:space="preserve"> % и составила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63,86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рублей (</w:t>
      </w:r>
      <w:r>
        <w:rPr>
          <w:rFonts w:ascii="Times New Roman" w:hAnsi="Times New Roman" w:eastAsia="Calibri" w:cs="Times New Roman"/>
          <w:sz w:val="28"/>
          <w:szCs w:val="28"/>
        </w:rPr>
        <w:t xml:space="preserve">60,22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рублей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2022 год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</w:t>
      </w:r>
      <w:r>
        <w:rPr>
          <w:rFonts w:ascii="Times New Roman" w:hAnsi="Times New Roman" w:cs="Times New Roman"/>
          <w:sz w:val="28"/>
          <w:szCs w:val="28"/>
        </w:rPr>
        <w:t xml:space="preserve">нормированного страхового запаса, утвержден План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сумму </w:t>
      </w:r>
      <w:r>
        <w:rPr>
          <w:rFonts w:ascii="Times New Roman" w:hAnsi="Times New Roman" w:cs="Times New Roman"/>
          <w:sz w:val="28"/>
          <w:szCs w:val="28"/>
        </w:rPr>
        <w:t xml:space="preserve">28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311,4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в том числе на дополнительное профессиональное образование медицинских работников – </w:t>
      </w:r>
      <w:r>
        <w:rPr>
          <w:rFonts w:ascii="Times New Roman" w:hAnsi="Times New Roman" w:cs="Times New Roman"/>
          <w:sz w:val="28"/>
          <w:szCs w:val="28"/>
        </w:rPr>
        <w:t xml:space="preserve">1 260,6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на приобретение медицинского оборудования – 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282,4</w:t>
      </w:r>
      <w:r>
        <w:rPr>
          <w:rFonts w:ascii="Times New Roman" w:hAnsi="Times New Roman" w:cs="Times New Roman"/>
          <w:sz w:val="28"/>
          <w:szCs w:val="28"/>
        </w:rPr>
        <w:t xml:space="preserve"> тыс. 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, на проведение ремонта медицинского оборудования – 6</w:t>
      </w:r>
      <w:r>
        <w:rPr>
          <w:rFonts w:ascii="Times New Roman" w:hAnsi="Times New Roman" w:cs="Times New Roman"/>
          <w:sz w:val="28"/>
          <w:szCs w:val="28"/>
        </w:rPr>
        <w:t xml:space="preserve"> 768,4</w:t>
      </w:r>
      <w:r>
        <w:rPr>
          <w:rFonts w:ascii="Times New Roman" w:hAnsi="Times New Roman" w:cs="Times New Roman"/>
          <w:sz w:val="28"/>
          <w:szCs w:val="28"/>
        </w:rPr>
        <w:t xml:space="preserve"> тыс. рублей. Подписаны соглашения с 31 медицинской орган</w:t>
      </w:r>
      <w:r>
        <w:rPr>
          <w:rFonts w:ascii="Times New Roman" w:hAnsi="Times New Roman" w:cs="Times New Roman"/>
          <w:sz w:val="28"/>
          <w:szCs w:val="28"/>
        </w:rPr>
        <w:t xml:space="preserve">изацией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</w:rPr>
        <w:t xml:space="preserve">План мероприятий 2023 года выполнен на 100</w:t>
      </w:r>
      <w:r>
        <w:rPr>
          <w:rFonts w:ascii="Times New Roman" w:hAnsi="Times New Roman" w:cs="Times New Roman"/>
          <w:sz w:val="28"/>
          <w:szCs w:val="28"/>
        </w:rPr>
        <w:t xml:space="preserve">,0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медицинские организации было п</w:t>
      </w:r>
      <w:r>
        <w:rPr>
          <w:rFonts w:ascii="Times New Roman" w:hAnsi="Times New Roman" w:cs="Times New Roman"/>
          <w:sz w:val="28"/>
          <w:szCs w:val="28"/>
        </w:rPr>
        <w:t xml:space="preserve">ере</w:t>
      </w:r>
      <w:r>
        <w:rPr>
          <w:rFonts w:ascii="Times New Roman" w:hAnsi="Times New Roman" w:cs="Times New Roman"/>
          <w:sz w:val="28"/>
          <w:szCs w:val="28"/>
        </w:rPr>
        <w:t xml:space="preserve">числено</w:t>
      </w:r>
      <w:r>
        <w:rPr>
          <w:rFonts w:ascii="Times New Roman" w:hAnsi="Times New Roman" w:cs="Times New Roman"/>
          <w:sz w:val="28"/>
          <w:szCs w:val="28"/>
        </w:rPr>
        <w:t xml:space="preserve"> 28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311,4 </w:t>
      </w:r>
      <w:r>
        <w:rPr>
          <w:rFonts w:ascii="Times New Roman" w:hAnsi="Times New Roman" w:cs="Times New Roman"/>
          <w:sz w:val="28"/>
          <w:szCs w:val="28"/>
        </w:rPr>
        <w:t xml:space="preserve">тыс. рублей, </w:t>
      </w:r>
      <w:r>
        <w:rPr>
          <w:rFonts w:ascii="Times New Roman" w:hAnsi="Times New Roman" w:cs="Times New Roman"/>
          <w:sz w:val="28"/>
          <w:szCs w:val="28"/>
        </w:rPr>
        <w:t xml:space="preserve">было обучено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388 </w:t>
      </w:r>
      <w:r>
        <w:rPr>
          <w:rFonts w:ascii="Times New Roman" w:hAnsi="Times New Roman" w:cs="Times New Roman"/>
          <w:sz w:val="28"/>
          <w:szCs w:val="28"/>
        </w:rPr>
        <w:t xml:space="preserve">медицинских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260,6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</w:t>
      </w:r>
      <w:r>
        <w:rPr>
          <w:rFonts w:ascii="Times New Roman" w:hAnsi="Times New Roman" w:cs="Times New Roman"/>
          <w:sz w:val="28"/>
          <w:szCs w:val="28"/>
        </w:rPr>
        <w:t xml:space="preserve">приобретено 88 единиц</w:t>
      </w:r>
      <w:r>
        <w:rPr>
          <w:rFonts w:ascii="Times New Roman" w:hAnsi="Times New Roman" w:cs="Times New Roman"/>
          <w:sz w:val="28"/>
          <w:szCs w:val="28"/>
        </w:rPr>
        <w:t xml:space="preserve"> 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20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282,4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провед</w:t>
      </w:r>
      <w:r>
        <w:rPr>
          <w:rFonts w:ascii="Times New Roman" w:hAnsi="Times New Roman" w:cs="Times New Roman"/>
          <w:sz w:val="28"/>
          <w:szCs w:val="28"/>
        </w:rPr>
        <w:t xml:space="preserve">ён </w:t>
      </w:r>
      <w:r>
        <w:rPr>
          <w:rFonts w:ascii="Times New Roman" w:hAnsi="Times New Roman" w:cs="Times New Roman"/>
          <w:sz w:val="28"/>
          <w:szCs w:val="28"/>
        </w:rPr>
        <w:t xml:space="preserve">ремонт</w:t>
      </w:r>
      <w:r>
        <w:rPr>
          <w:rFonts w:ascii="Times New Roman" w:hAnsi="Times New Roman" w:cs="Times New Roman"/>
          <w:sz w:val="28"/>
          <w:szCs w:val="28"/>
        </w:rPr>
        <w:t xml:space="preserve"> 41 единицы </w:t>
      </w:r>
      <w:r>
        <w:rPr>
          <w:rFonts w:ascii="Times New Roman" w:hAnsi="Times New Roman" w:cs="Times New Roman"/>
          <w:sz w:val="28"/>
          <w:szCs w:val="28"/>
        </w:rPr>
        <w:t xml:space="preserve">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сумму </w:t>
      </w:r>
      <w:r>
        <w:rPr>
          <w:rFonts w:ascii="Times New Roman" w:hAnsi="Times New Roman" w:cs="Times New Roman"/>
          <w:sz w:val="28"/>
          <w:szCs w:val="28"/>
        </w:rPr>
        <w:t xml:space="preserve">6 768,4</w:t>
      </w:r>
      <w:r>
        <w:rPr>
          <w:rFonts w:ascii="Times New Roman" w:hAnsi="Times New Roman" w:cs="Times New Roman"/>
          <w:sz w:val="28"/>
          <w:szCs w:val="28"/>
        </w:rPr>
        <w:t xml:space="preserve"> тыс. рублей.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реализации Федерального закона № 326-ФЗ</w:t>
      </w:r>
      <w:r>
        <w:rPr>
          <w:rFonts w:ascii="Times New Roman" w:hAnsi="Times New Roman" w:cs="Times New Roman"/>
          <w:sz w:val="28"/>
          <w:szCs w:val="28"/>
        </w:rPr>
        <w:t xml:space="preserve"> «Об обязательном медицинском страховании в Российской Федерации» (пункта 4 части 6 статьи 26) для софинансирования расходов медицинских организаций на оплату труда врачей и среднего медицинского персонала, распоряжением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Липецкой области в 2023 году было предусмотрено – 34,6 млн.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рублей, затем в декабре 2023 года по заявке фонда было выделено ещё 1,5 млн.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cs="Times New Roman"/>
          <w:sz w:val="28"/>
          <w:szCs w:val="28"/>
        </w:rPr>
        <w:t xml:space="preserve"> из резервного фонда.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 2023 году в медицинские организации в соответствии с их заявками было направлено 36,1 млн.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рублей, В 2022 году –  всего 8,3 млн.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рублей.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средств нормированного страхового запаса в 2022 году осуществлено финансирование заработной платы 52 медицинских работников, (в том числе 40 </w:t>
      </w:r>
      <w:r>
        <w:rPr>
          <w:rFonts w:ascii="Times New Roman" w:hAnsi="Times New Roman"/>
          <w:sz w:val="28"/>
          <w:szCs w:val="28"/>
        </w:rPr>
        <w:t xml:space="preserve">врачей и 12 человек среднего медицинского персонала), а в 2023 году – 132 медицинских работника, в том числе 79 врачей и 53 человека среднего медицинского персонала.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eastAsia="Calibri" w:cs="Times New Roman"/>
          <w:sz w:val="28"/>
          <w:szCs w:val="28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план проверок на 2023 год включены 50 медицинские организации и 2 страховые медицинские организации.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2023 год проведено 63 проверки, в том числе: в медицинских организациях - 50 плановые проверки, 2 внеплановые проверки; в страховых медицинских организациях - 2 плановые комплексные проверки и 9 внеплановых проверок.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Остаток не восстановленных средств ОМС по состоянию на 01.01.2023 составил 1 456,0 тыс. рублей.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итогам проверок за 2023 год в медицинских организациях выявлено нецелевое использование средств обязательного медицинского страхования на сумму 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702,1тыс.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(2022год – 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164,5 тыс.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«В результате необоснованно запрошенных дополнительных сумм финансирования» - 13,0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0,2%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2,7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средства НСЗ направлены на повышение квалификации работников по темам, не связанным с реализацией программы ОМС;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10,3тыс.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из средств НСЗ в части софинансирования расходов на оплату труда врачей и среднего медицинского персонала при формировании заявки допущена арифметическая ошибка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«Оплата видов медицинской помощи, не включенных в территориальную программу ОМС» - 1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374,0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17,8%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486,1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- обучение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темам,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 связанным с оказанием медицинской помощи в рамках территориальной программы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95,4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поверка анализаторов алкоголя;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60,2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приобретение реактивов для медицинского освидетельствования на состояние наркотического опьянения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192,2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медицинской помощи не застрахованным по ОМС гражданам (лица без определенного места жительства);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39,2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за работу с ВИЧ</w:t>
      </w: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инфицированными;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218,6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труда врача – фтизиатра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282,3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проведение исследований в медицинской организации другого региона, не включенной в перечень медицинских организаций, участвующих в реализации Программы.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«Оплата расходов, не включенных в тарифы на оплату медицинской помощи в рамках территориальной программы ОМС»- 2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608,0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33,9 %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74,5тыс.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работы по проведению капитального ремонта зданий;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60,4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–строительный контроль в рамках капитального ремонта;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52,2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штрафов за административные правонарушения;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48,7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 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оплата расходов других регионов;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67,0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 проведение обследования строительных конструкций помещений, в которых планируется размещение тяжелого оборудования;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388,4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– выплата материальной помощи работникам медицинской организации;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20,6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оплата материальных запасов и услуг, не связанных с оказанием медицинской помощи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755,9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приобретение оборудования стоимостью свыше 100,0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за единицу;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44,8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премия по договору страхования недвижимого имущества;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846,1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приобретение и использование лекарственных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репаратов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 включенных в стандарты лечения;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2,3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расходы по оплате логотипов на сумках;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104,0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за снос деревьев;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96,7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доплаты молодым специалистам;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46,4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нецелевого использования средств ОМС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«Финансирование структурных подразделений (служб) медицинских организаций, финансируемых из иных источников» - 48,5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или 0,6% от выявленной суммы нецелевого использования средств ОМС, в том числе: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33,8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расходы на приобретение оборудования для оказания медицинской помощи на платной основе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11,7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выплата премии  за оказание медицинской помощи на платной основе;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3,0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повышение квалификации сотрудников отделения сестринского ухода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«Расходование средств сверх норм,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установленных соответствующими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министерствами, ведомствами –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855,4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11,1% от выявленной суммы нецелевого использования средств ОМС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849,1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выплаты стимулирующего характера с учетом начислений, произведенные с превышением установленных норм;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6,3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выдача спецпитания за работу с вредными и опасными условиями труда, сверх фактически отработанного времени.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«Расходование средств при отсутствии подтверждающих документов» - 2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803,2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или 36,4% от выявленной суммы нецелевого использования средств ОМС: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787,1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- выплата заработной платы, с учетом начислений, при отсутствии сертификата специалиста;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7,3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списаны средства со счета без подтверждающих документов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8,8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оплата командировочных расходов без подтверждающих документов.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Возвращено в бюджет ТФОМС Липецкой области в соответствии с требованиями Федерального закона от 29.11.2010 № 326-ФЗ «Об обязательном медицинском страховании в Российской Федерации» - 5187,2 тыс.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тыс. рублей.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состоянию на 01.01.2024 остаток невосстановленных медицинскими организациями средств ОМС составляет 3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970,9 тыс. рублей.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Сумма предъявленных штрафов, пеней по результатам проверок деятельности страховых медицинских организаций и медицинских организаций в сфере обязательного медицинского страхования за 2023 составила 947,8 тыс. рублей, в том числе по: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медицинским организациям – 914,8 тыс. рублей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страховым медицинским организациям – 33,0 тыс. рублей.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Остаток задолженности по штрафам по результатам проверок по состоянию на 01.01.2023 года составлял 1 227,8 тыс. рублей.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Получено в отчетном периоде штрафов, пеней по результатам проверок 1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701,3 тыс. рублей: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медицинским организациям – 1668,3 тыс. рублей,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страховым медицинским организациям – 33,0 тыс. рублей.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состоянию на 01.01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2024 года задолженность по штрафам и пени – 474,3 тыс. рублей (медицинские организации – 364,8 тыс. рублей, страховые медицинские организации – 109,5 тыс. руб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Отсутствие внутреннего контроля объемов, сроков, качества и условий предоставления медицинской помощи влияет на образование финансовых потерь в медицинских организациях.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результатам проведенных за 2023год проверок медицинских организаций финансовые потери в результате частичной или полной неоплаты медицинской помощи составили 124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631,3 тыс. рублей.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ходе контрольных мероприятий за 2023 год были установлены нарушения. приведшие к неэффективному использованию средств ОМС на сумму 29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799,8 тыс. рублей: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–29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347,3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 рублей;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лекарственные средства с истекшим сроком годности, находящиеся в карантинной зоне или переданные на уничтожение – 452,5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тыс. рублей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 целью исключения случаев неэффективного использования денежных средств ОМС административно-управленческому составу медицинских организаций необходимо: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в целях недопущения штрафных санкций по предписаниям страховых медицинских организаций усилить внутренний контроль объемов, сроков, качества и условий предоставления медицинской помощи;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 осуществлять в постоянном реж</w:t>
      </w:r>
      <w:r>
        <w:rPr>
          <w:rFonts w:ascii="Times New Roman" w:hAnsi="Times New Roman" w:eastAsia="Calibri" w:cs="Times New Roman"/>
          <w:sz w:val="28"/>
          <w:szCs w:val="28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Выявленные при проверках нарушения приводят к временному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Исключение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- снижению кредиторской задолженности.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целях недопущения неэффективного и нецелевого использования средств обязательн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ого медицинского страхования по итогам проверок медицинским организациям рекомендовано осуществлять внутренний контроль за соблюдением финансово-хозяйственной деятельности в соответствии с требованиями, установленными законодательством Российской Федерации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Просроченная кредиторская задолженность государственных медицинских организаций перед поставщиками за поставленные материальные ценности и оказанные услуги в течение </w:t>
      </w:r>
      <w:r>
        <w:rPr>
          <w:rFonts w:ascii="Times New Roman" w:hAnsi="Times New Roman" w:cs="Times New Roman"/>
          <w:sz w:val="28"/>
          <w:szCs w:val="28"/>
        </w:rPr>
        <w:t xml:space="preserve">года</w:t>
      </w:r>
      <w:r>
        <w:rPr>
          <w:rFonts w:ascii="Times New Roman" w:hAnsi="Times New Roman" w:cs="Times New Roman"/>
          <w:sz w:val="28"/>
          <w:szCs w:val="28"/>
        </w:rPr>
        <w:t xml:space="preserve"> увеличилась в </w:t>
      </w:r>
      <w:r>
        <w:rPr>
          <w:rFonts w:ascii="Times New Roman" w:hAnsi="Times New Roman" w:cs="Times New Roman"/>
          <w:sz w:val="28"/>
          <w:szCs w:val="28"/>
        </w:rPr>
        <w:t xml:space="preserve">1,5</w:t>
      </w:r>
      <w:r>
        <w:rPr>
          <w:rFonts w:ascii="Times New Roman" w:hAnsi="Times New Roman" w:cs="Times New Roman"/>
          <w:sz w:val="28"/>
          <w:szCs w:val="28"/>
        </w:rPr>
        <w:t xml:space="preserve"> раза, на 01.</w:t>
      </w:r>
      <w:r>
        <w:rPr>
          <w:rFonts w:ascii="Times New Roman" w:hAnsi="Times New Roman" w:cs="Times New Roman"/>
          <w:sz w:val="28"/>
          <w:szCs w:val="28"/>
        </w:rPr>
        <w:t xml:space="preserve">01</w:t>
      </w:r>
      <w:r>
        <w:rPr>
          <w:rFonts w:ascii="Times New Roman" w:hAnsi="Times New Roman" w:cs="Times New Roman"/>
          <w:sz w:val="28"/>
          <w:szCs w:val="28"/>
        </w:rPr>
        <w:t xml:space="preserve">.2023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>
        <w:rPr>
          <w:rFonts w:ascii="Times New Roman" w:hAnsi="Times New Roman" w:cs="Times New Roman"/>
          <w:sz w:val="28"/>
          <w:szCs w:val="28"/>
        </w:rPr>
        <w:t xml:space="preserve">состав</w:t>
      </w:r>
      <w:r>
        <w:rPr>
          <w:rFonts w:ascii="Times New Roman" w:hAnsi="Times New Roman" w:cs="Times New Roman"/>
          <w:sz w:val="28"/>
          <w:szCs w:val="28"/>
        </w:rPr>
        <w:t xml:space="preserve">ля</w:t>
      </w:r>
      <w:r>
        <w:rPr>
          <w:rFonts w:ascii="Times New Roman" w:hAnsi="Times New Roman" w:cs="Times New Roman"/>
          <w:sz w:val="28"/>
          <w:szCs w:val="28"/>
        </w:rPr>
        <w:t xml:space="preserve">ла </w:t>
      </w:r>
      <w:r>
        <w:rPr>
          <w:rFonts w:ascii="Times New Roman" w:hAnsi="Times New Roman" w:cs="Times New Roman"/>
          <w:sz w:val="28"/>
          <w:szCs w:val="28"/>
        </w:rPr>
        <w:t xml:space="preserve">33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741,1</w:t>
      </w:r>
      <w:r>
        <w:rPr>
          <w:rFonts w:ascii="Times New Roman" w:hAnsi="Times New Roman" w:cs="Times New Roman"/>
          <w:sz w:val="28"/>
          <w:szCs w:val="28"/>
        </w:rPr>
        <w:t xml:space="preserve"> тыс. рублей, на 01.01.202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она состав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203,9</w:t>
      </w:r>
      <w:r>
        <w:rPr>
          <w:rFonts w:ascii="Times New Roman" w:hAnsi="Times New Roman" w:cs="Times New Roman"/>
          <w:sz w:val="28"/>
          <w:szCs w:val="28"/>
        </w:rPr>
        <w:t xml:space="preserve"> тыс. рублей.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январь-декабрь 2023 года подвергнуто экспертизам 177,5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страховых случаев медицинской помощи, оказанных гражданам, застрахованным на территории Липецкой области, в том числе в ходе плановых проверок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40,8 тыс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медико-экономических экспертиз (МЭЭ) за январь-декабрь 2023 года было проанализировано 146,4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 оказания медицинской помощи, в том числе при целевых проверках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114,7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МЭЭ было установлено 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537 нарушений (17%), отмечается увеличение количества дефектов в сравнении с аналогичным периодом 2022 года, когда данный показатель составлял 11%.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помощи», составило –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442 или 33% от общего количества нарушений.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«несоответствие данных первичной медицинской документации данным реестра счетов», составило –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817 или 35% от общего количества нарушений. Отмечается увеличение по сравнению с 1 полугодием 2023 года, когда данных нарушений было 23%.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нарушений по причине «отсутствие в документации информированного добровольного согласия застрахованного лица на медицинское вмешательство», составило – 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706 или 26% от общего количества нарушений. За год наметилось уменьшение количества данных дефектов (за 9 месяцев 2023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568 или 31%, за 1 полугодие 2023 было 35%).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экспертиз качества медицинской помощи (ЭКМП) было проанализировано 31,1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 оказания медицинской помощи, в том числе при целевых проверках – 21,9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ЭКМП было установлено 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385 нарушени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(37%), отмечается увеличение в сравнении с аналогичным периодом 2022 года, когда данный показатель составлял 23%.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нарушений – «невыполнение, несвоевременное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ненадлежащее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872 или 52% от общего количества нарушений, в том числе при проведении диспансеризации определенных групп взрослого населения –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959 (50%).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ЭКМП установлены нарушения из раздела 2 Перечня оснований для отказа в оплате медицинской помощи (уменьшения в оплате медицинской помощи), количество их составило –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920 или 25% от общего количества нарушений, в том числе: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«несоответствие данных первичной медицинской документации данным реестра счетов», составило –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182 или 40%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«отсутствие в документации информированного добровольного согласия застрахованного лица на медицинское вмешательство», составило – 926 или 32%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«непредставление первичной медицинской документации, подтверждающей факт оказания ЗЛ медицинской помощи», составило – 397 или 14% от общего количества нарушений из раздела 2.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итогам МЭЭ и ЭКМП к медицинским организациям применены финансовые санкции в размере 112,3 млн.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(2022 год – 92,1 млн.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2023 году проведено 177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501 контрольно-экспертное мероприятие по случаям оказания медицинской помощи пациентам с подозрением на злокачественные новообразования (ЗНО) и/или с подтвержденным диагнозом ЗНО, в том числе 164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408 медико-экономического контроля, 11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889 медико-экономических экспертиз,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204 экспертизы качества медицинской помощи. По результатам контрольно-экспертных мероприятий выявлено 5 368 дефектов, в том числе 116 по страховым случаям с применением химиотерапии.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57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январь-декабрь 2023 года специалистами ТФОМС Липецкой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и экспертами качества медицинской помощи, входящими в реестр экспертов качества медицинской помощи, привлекаемыми на договорной основе, проводились повторные медико-экономические экспертизы и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570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Количество страховых случаев, подвергшихся повторной МЭЭ, составило 3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122, количество страховых случаев, подвергшихся повторной ЭКМП, составило 1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403, что соответствует требованиям приказа ФФОМС от 19.03.2021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 </w:t>
      </w:r>
      <w:r>
        <w:rPr>
          <w:rFonts w:ascii="Times New Roman" w:hAnsi="Times New Roman" w:eastAsia="Calibri" w:cs="Times New Roman"/>
          <w:sz w:val="28"/>
          <w:szCs w:val="28"/>
        </w:rPr>
        <w:t xml:space="preserve">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страхованию, а также ее финансового обеспечения».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360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Установлены нарушения в 77 случаях (2%), допущенные медицинскими организациями, но не выявленные СМО при первичном проведении экспертиз. По итогам повторных экспертиз к СМО применены штрафные санкций в размере 22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830,50 руб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лей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- 10% от суммы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, необоснованно оплаченной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медицинским организациям.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январь-декабрь 2023 года ТФОМС и СМО было рассмотрено 106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732</w:t>
      </w:r>
      <w:r>
        <w:rPr>
          <w:rFonts w:ascii="Times New Roman" w:hAnsi="Times New Roman" w:eastAsia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обращений. В сравнении с аналогичным периодом 2022 года количество обращений увеличилось на 7,0 тыс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Всего обращений за разъяснениями, в том числе заявлений, 106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550 наибольшее количество по вопросам выбора и/или замены СМО, включение в единый регистр застрахованных, обеспечение выдачи полисов, о выдаче дубликата полиса ОМС — 94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664 или 89%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январь-декабрь 2023 года поступило 178 жалоб или 0,2% от общего числа обращений; в 2022 году данный показатель 176 (0,2%).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 жалобы рассмотрены в досудебном порядке, в установленные законом сроки, обоснованными признано 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(70%), за аналогичный период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2022 года 103 жалобы (59%) были признаны обоснованными.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Структура обоснованных жалоб по причинам сложилась следующим образом: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27 жалоб (22%) на организацию работы медицинских организаций;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65 жалоб (52%) на качество медицинской помощи;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 жалобы (6%) на отказ в оказании медицинской помощи;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22 жалобы (1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%) на недостоверные сведения об оказанных медицинских услугах;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 жалоб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(1%) на взимание денежных средств за оказанную медицинскую помощь;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95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 жалобы (2%) - другие причины обоснованных жалоб.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августа 2022 года страховыми медицинскими организациями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требованиями приказа Минздрава России от 19.07.2022 № 495 «Об утверждении методики расчета дополнительного показателя «Оценка общественного мнения по удовлетворенности населения медицинской помощью, %» федерального проекта «Модернизация пе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рвичного звена Российской Федерации» ежемесячно проводится опрос населения по удовлетворенности населения медицинской помощью. Процент удовлетворенности по каждому месяцу выше планового показателя, за 2023 год он составил 53,3% (плановый показатель 49,0%).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  <w:lang w:eastAsia="ru-RU"/>
        </w:rPr>
        <w:tab/>
        <w:t xml:space="preserve">В соответствии c Методическими рекомендациями по способам оплаты медицинской помощи за счет средств обязательного медицинского страхования на 202</w:t>
      </w:r>
      <w:r>
        <w:rPr>
          <w:sz w:val="28"/>
          <w:szCs w:val="28"/>
          <w:lang w:eastAsia="ru-RU"/>
        </w:rPr>
        <w:t xml:space="preserve">3</w:t>
      </w:r>
      <w:r>
        <w:rPr>
          <w:sz w:val="28"/>
          <w:szCs w:val="28"/>
          <w:lang w:eastAsia="ru-RU"/>
        </w:rPr>
        <w:t xml:space="preserve"> год, Тарифным соглашением на оплату медицинской помощи по обязательному медицинскому страхованию на территории Липецкой области на 202</w:t>
      </w:r>
      <w:r>
        <w:rPr>
          <w:sz w:val="28"/>
          <w:szCs w:val="28"/>
          <w:lang w:eastAsia="ru-RU"/>
        </w:rPr>
        <w:t xml:space="preserve">3</w:t>
      </w:r>
      <w:r>
        <w:rPr>
          <w:sz w:val="28"/>
          <w:szCs w:val="28"/>
          <w:lang w:eastAsia="ru-RU"/>
        </w:rPr>
        <w:t xml:space="preserve"> год предусмотрены выплаты медицинским организациям, имеющим прикрепившихся лиц за выполнение показателей результативности деятельности медицинских организаций. </w:t>
      </w:r>
      <w:r/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  <w:lang w:eastAsia="ru-RU"/>
        </w:rPr>
        <w:t xml:space="preserve">Всего установлено 2</w:t>
      </w:r>
      <w:r>
        <w:rPr>
          <w:sz w:val="28"/>
          <w:szCs w:val="28"/>
          <w:lang w:eastAsia="ru-RU"/>
        </w:rPr>
        <w:t xml:space="preserve">5</w:t>
      </w:r>
      <w:r>
        <w:rPr>
          <w:sz w:val="28"/>
          <w:szCs w:val="28"/>
          <w:lang w:eastAsia="ru-RU"/>
        </w:rPr>
        <w:t xml:space="preserve"> показателей, распределенных на 3 группы (отражающие</w:t>
      </w:r>
      <w:r>
        <w:rPr>
          <w:sz w:val="28"/>
          <w:szCs w:val="28"/>
          <w:lang w:eastAsia="ru-RU"/>
        </w:rPr>
        <w:t xml:space="preserve"> эффективность оказания медицинской помощи взрослому населению, детскому населению, акушерско-гинекологической медицинской помощи женщинам). За выполнение каждого из показателей медицинской организации начисляется определенной количество баллов (от 0,5 до </w:t>
      </w:r>
      <w:r>
        <w:rPr>
          <w:sz w:val="28"/>
          <w:szCs w:val="28"/>
          <w:lang w:eastAsia="ru-RU"/>
        </w:rPr>
        <w:t xml:space="preserve">2</w:t>
      </w:r>
      <w:r>
        <w:rPr>
          <w:sz w:val="28"/>
          <w:szCs w:val="28"/>
          <w:lang w:eastAsia="ru-RU"/>
        </w:rPr>
        <w:t xml:space="preserve">). </w:t>
      </w:r>
      <w:r/>
    </w:p>
    <w:p>
      <w:pPr>
        <w:pStyle w:val="874"/>
        <w:ind w:firstLine="700"/>
        <w:spacing w:before="0" w:line="283" w:lineRule="atLeast"/>
        <w:shd w:val="clear" w:color="auto" w:fill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 учетом фактического выполнения показателей, медицинские организации распределяются на три группы: </w:t>
      </w:r>
      <w:r>
        <w:rPr>
          <w:sz w:val="28"/>
          <w:szCs w:val="28"/>
          <w:lang w:val="en-US" w:eastAsia="ru-RU"/>
        </w:rPr>
        <w:t xml:space="preserve">I</w:t>
      </w:r>
      <w:r>
        <w:rPr>
          <w:sz w:val="28"/>
          <w:szCs w:val="28"/>
          <w:lang w:eastAsia="ru-RU"/>
        </w:rPr>
        <w:t xml:space="preserve"> – выполнившие до 40 процентов показателей, II – от 40 (включительно) до 60 процентов показателей, </w:t>
      </w:r>
      <w:r>
        <w:rPr>
          <w:sz w:val="28"/>
          <w:szCs w:val="28"/>
          <w:lang w:val="en-US" w:eastAsia="ru-RU"/>
        </w:rPr>
        <w:t xml:space="preserve">III</w:t>
      </w:r>
      <w:r>
        <w:rPr>
          <w:sz w:val="28"/>
          <w:szCs w:val="28"/>
          <w:lang w:eastAsia="ru-RU"/>
        </w:rPr>
        <w:t xml:space="preserve"> – от 60 (включительно) процентов показателей</w:t>
      </w:r>
      <w:r>
        <w:rPr>
          <w:sz w:val="28"/>
          <w:szCs w:val="28"/>
          <w:lang w:eastAsia="ru-RU"/>
        </w:rPr>
        <w:t xml:space="preserve">.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</w:r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  <w:lang w:eastAsia="ru-RU"/>
        </w:rPr>
        <w:t xml:space="preserve">Выплаты предусмотрены только медицинским организациям II и III группы. </w:t>
      </w:r>
      <w:r/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  <w:lang w:eastAsia="ru-RU"/>
        </w:rPr>
        <w:t xml:space="preserve">Осуществление выплат производилось с учетом выполнения объемов амбулаторной медицинской помощи</w:t>
      </w:r>
      <w:r>
        <w:rPr>
          <w:sz w:val="28"/>
          <w:szCs w:val="28"/>
          <w:lang w:eastAsia="ru-RU"/>
        </w:rPr>
        <w:t xml:space="preserve"> и с учетом </w:t>
      </w:r>
      <w:r>
        <w:rPr>
          <w:sz w:val="28"/>
          <w:szCs w:val="28"/>
          <w:lang w:eastAsia="ru-RU"/>
        </w:rPr>
        <w:t xml:space="preserve">оценки показателей смертности прикрепившихся лиц </w:t>
      </w:r>
      <w:r>
        <w:rPr>
          <w:sz w:val="28"/>
          <w:szCs w:val="28"/>
          <w:lang w:eastAsia="ru-RU"/>
        </w:rPr>
        <w:t xml:space="preserve">(выплаты в полном объеме получ</w:t>
      </w:r>
      <w:r>
        <w:rPr>
          <w:sz w:val="28"/>
          <w:szCs w:val="28"/>
          <w:lang w:eastAsia="ru-RU"/>
        </w:rPr>
        <w:t xml:space="preserve">или</w:t>
      </w:r>
      <w:r>
        <w:rPr>
          <w:sz w:val="28"/>
          <w:szCs w:val="28"/>
          <w:lang w:eastAsia="ru-RU"/>
        </w:rPr>
        <w:t xml:space="preserve"> медицинские организации, выполнившие 90% и более от плановых объемов</w:t>
      </w:r>
      <w:r>
        <w:rPr>
          <w:sz w:val="28"/>
          <w:szCs w:val="28"/>
          <w:lang w:eastAsia="ru-RU"/>
        </w:rPr>
        <w:t xml:space="preserve"> амбулаторной медицинской помощи,</w:t>
      </w:r>
      <w:r>
        <w:rPr>
          <w:sz w:val="28"/>
          <w:szCs w:val="28"/>
          <w:lang w:eastAsia="ru-RU"/>
        </w:rPr>
        <w:t xml:space="preserve"> в которых отмечено снижение показателей смертности прикрепившихся лиц</w:t>
      </w:r>
      <w:r>
        <w:rPr>
          <w:sz w:val="28"/>
          <w:szCs w:val="28"/>
          <w:lang w:eastAsia="ru-RU"/>
        </w:rPr>
        <w:t xml:space="preserve">).</w:t>
      </w:r>
      <w:r/>
    </w:p>
    <w:p>
      <w:pPr>
        <w:pStyle w:val="874"/>
        <w:ind w:firstLine="700"/>
        <w:spacing w:before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Общая сумма выплат за 202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год составила 1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млн. рублей.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 выплат по медицинским организациям составил от 0,1 млн. рублей до 6,9 млн. рублей. </w:t>
      </w:r>
      <w:r>
        <w:rPr>
          <w:sz w:val="28"/>
          <w:szCs w:val="28"/>
        </w:rPr>
        <w:t xml:space="preserve">Выплаты были направлены в медицинские организации при оплате счетов за ноябрь 2023 года.</w:t>
      </w:r>
      <w:r>
        <w:rPr>
          <w:sz w:val="28"/>
          <w:szCs w:val="28"/>
        </w:rPr>
        <w:t xml:space="preserve"> </w:t>
      </w:r>
      <w:bookmarkStart w:id="0" w:name="_GoBack"/>
      <w:r/>
      <w:bookmarkEnd w:id="0"/>
      <w:r/>
      <w:r>
        <w:rPr>
          <w:sz w:val="28"/>
          <w:szCs w:val="28"/>
        </w:rPr>
      </w:r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</w:rPr>
        <w:t xml:space="preserve">Информация об общей сумме выплат за выполнение показателей результативности в 202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году в разрезе медицинских организаций представлена в таблице.</w:t>
      </w:r>
      <w:r/>
    </w:p>
    <w:tbl>
      <w:tblPr>
        <w:tblStyle w:val="725"/>
        <w:tblW w:w="0" w:type="auto"/>
        <w:tblLayout w:type="fixed"/>
        <w:tblLook w:val="04A0" w:firstRow="1" w:lastRow="0" w:firstColumn="1" w:lastColumn="0" w:noHBand="0" w:noVBand="1"/>
      </w:tblPr>
      <w:tblGrid>
        <w:gridCol w:w="7519"/>
        <w:gridCol w:w="2126"/>
      </w:tblGrid>
      <w:tr>
        <w:tblPrEx/>
        <w:trPr>
          <w:trHeight w:val="134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Краткое наименование медицинской организации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Сумма стимулирующих выплат за 202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год, всего,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br/>
              <w:t xml:space="preserve">млн. рублей.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ГБ № 4 «Липецк-Мед»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ГУЗ «Липецкая горбольница № 3 «Свободный сокол»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ГП № 4»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6,0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горполиклиника № 1»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городская поликлиника № 2»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«ЛГДБ»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ГП №5»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«ЛОКЦ»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ГБ СМП №1»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ФКУЗ МСЧ МВД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ипецкой области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0,1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горполиклиника № 7»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«Елецкая ГДБ»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«Елецкая горбольница № 1 им. Н.А. Семашко»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4,8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«Елецкая городская больница № 2»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4,1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ЧУЗ «РЖД - Медицина» г.Елец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«Воловская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«Грязинская ЦРБ»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6,2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«Данковская ЦРБ»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«Добринская ЦРБ»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«Добровская 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«Долгоруковская 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«Елецкая 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«Задонская ЦРБ»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«Измалковская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«Краснинская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«Лебедянская ЦРБ»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4,8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«Лев-Толстовская 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«Липецкая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«Становлянская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1,2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«Тербунская ЦРБ»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«Усманская ЦРБ»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3,7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«Хлевенская РБ»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center"/>
            <w:textDirection w:val="lrTb"/>
            <w:noWrap w:val="false"/>
          </w:tcPr>
          <w:p>
            <w:pPr>
              <w:pStyle w:val="879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ГУЗ «Чаплыгинская РБ»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2,1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19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8"/>
                <w:szCs w:val="28"/>
              </w:rPr>
              <w:t xml:space="preserve">ВСЕГО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74"/>
        <w:ind w:firstLine="700"/>
        <w:spacing w:before="0" w:line="283" w:lineRule="atLeast"/>
        <w:shd w:val="clear" w:color="auto" w:fill="auto"/>
      </w:pPr>
      <w:r/>
      <w:r/>
    </w:p>
    <w:p>
      <w:pPr>
        <w:pStyle w:val="874"/>
        <w:ind w:firstLine="700"/>
        <w:spacing w:before="0" w:line="283" w:lineRule="atLeast"/>
        <w:shd w:val="clear" w:color="auto" w:fill="auto"/>
      </w:pPr>
      <w:r>
        <w:rPr>
          <w:sz w:val="28"/>
          <w:szCs w:val="28"/>
        </w:rPr>
        <w:t xml:space="preserve">Таким образом, денежные средства за выполнение показателей результативности в 202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году были направлены во все медицинские организации, имеющие прикрепившихся лиц, за исключением ГУЗ «Липецкая городская детская больница», </w:t>
      </w:r>
      <w:r>
        <w:rPr>
          <w:sz w:val="28"/>
          <w:szCs w:val="28"/>
        </w:rPr>
        <w:t xml:space="preserve">отнесенной </w:t>
      </w:r>
      <w:r>
        <w:rPr>
          <w:sz w:val="28"/>
          <w:szCs w:val="28"/>
        </w:rPr>
        <w:t xml:space="preserve">к I группе, </w:t>
      </w:r>
      <w:r>
        <w:rPr>
          <w:sz w:val="28"/>
          <w:szCs w:val="28"/>
        </w:rPr>
        <w:t xml:space="preserve">не предусматривающей получение вы</w:t>
      </w:r>
      <w:r>
        <w:rPr>
          <w:sz w:val="28"/>
          <w:szCs w:val="28"/>
        </w:rPr>
        <w:t xml:space="preserve">пл</w:t>
      </w:r>
      <w:r>
        <w:rPr>
          <w:sz w:val="28"/>
          <w:szCs w:val="28"/>
        </w:rPr>
        <w:t xml:space="preserve">ат.</w:t>
      </w:r>
      <w:r/>
    </w:p>
    <w:p>
      <w:pPr>
        <w:pStyle w:val="874"/>
        <w:ind w:firstLine="700"/>
        <w:spacing w:before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5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50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673" w:default="1">
    <w:name w:val="Normal"/>
    <w:qFormat/>
  </w:style>
  <w:style w:type="paragraph" w:styleId="674">
    <w:name w:val="Heading 1"/>
    <w:basedOn w:val="673"/>
    <w:next w:val="673"/>
    <w:link w:val="70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5">
    <w:name w:val="Heading 2"/>
    <w:basedOn w:val="673"/>
    <w:next w:val="673"/>
    <w:link w:val="878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76">
    <w:name w:val="Heading 3"/>
    <w:basedOn w:val="673"/>
    <w:next w:val="673"/>
    <w:link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7">
    <w:name w:val="Heading 4"/>
    <w:basedOn w:val="673"/>
    <w:next w:val="673"/>
    <w:link w:val="70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673"/>
    <w:next w:val="673"/>
    <w:link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basedOn w:val="673"/>
    <w:next w:val="673"/>
    <w:link w:val="70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0">
    <w:name w:val="Heading 7"/>
    <w:basedOn w:val="673"/>
    <w:next w:val="673"/>
    <w:link w:val="70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1">
    <w:name w:val="Heading 8"/>
    <w:basedOn w:val="673"/>
    <w:next w:val="673"/>
    <w:link w:val="70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2">
    <w:name w:val="Heading 9"/>
    <w:basedOn w:val="673"/>
    <w:next w:val="673"/>
    <w:link w:val="71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uiPriority w:val="9"/>
    <w:rPr>
      <w:rFonts w:ascii="Arial" w:hAnsi="Arial" w:eastAsia="Arial" w:cs="Arial"/>
      <w:sz w:val="40"/>
      <w:szCs w:val="40"/>
    </w:rPr>
  </w:style>
  <w:style w:type="character" w:styleId="687" w:customStyle="1">
    <w:name w:val="Heading 3 Char"/>
    <w:basedOn w:val="683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Heading 4 Char"/>
    <w:basedOn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Heading 5 Char"/>
    <w:basedOn w:val="683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Heading 6 Char"/>
    <w:basedOn w:val="683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Heading 7 Char"/>
    <w:basedOn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Heading 8 Char"/>
    <w:basedOn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Heading 9 Char"/>
    <w:basedOn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94" w:customStyle="1">
    <w:name w:val="Title Char"/>
    <w:basedOn w:val="683"/>
    <w:uiPriority w:val="10"/>
    <w:rPr>
      <w:sz w:val="48"/>
      <w:szCs w:val="48"/>
    </w:rPr>
  </w:style>
  <w:style w:type="character" w:styleId="695" w:customStyle="1">
    <w:name w:val="Subtitle Char"/>
    <w:basedOn w:val="683"/>
    <w:uiPriority w:val="11"/>
    <w:rPr>
      <w:sz w:val="24"/>
      <w:szCs w:val="24"/>
    </w:rPr>
  </w:style>
  <w:style w:type="character" w:styleId="696" w:customStyle="1">
    <w:name w:val="Quote Char"/>
    <w:uiPriority w:val="29"/>
    <w:rPr>
      <w:i/>
    </w:rPr>
  </w:style>
  <w:style w:type="character" w:styleId="697" w:customStyle="1">
    <w:name w:val="Intense Quote Char"/>
    <w:uiPriority w:val="30"/>
    <w:rPr>
      <w:i/>
    </w:rPr>
  </w:style>
  <w:style w:type="character" w:styleId="698" w:customStyle="1">
    <w:name w:val="Header Char"/>
    <w:basedOn w:val="683"/>
    <w:uiPriority w:val="99"/>
  </w:style>
  <w:style w:type="character" w:styleId="699" w:customStyle="1">
    <w:name w:val="Caption Char"/>
    <w:uiPriority w:val="99"/>
  </w:style>
  <w:style w:type="character" w:styleId="700" w:customStyle="1">
    <w:name w:val="Footnote Text Char"/>
    <w:uiPriority w:val="99"/>
    <w:rPr>
      <w:sz w:val="18"/>
    </w:rPr>
  </w:style>
  <w:style w:type="character" w:styleId="701" w:customStyle="1">
    <w:name w:val="Endnote Text Char"/>
    <w:uiPriority w:val="99"/>
    <w:rPr>
      <w:sz w:val="20"/>
    </w:rPr>
  </w:style>
  <w:style w:type="character" w:styleId="702" w:customStyle="1">
    <w:name w:val="Заголовок 1 Знак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Heading 2 Char"/>
    <w:basedOn w:val="683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Title"/>
    <w:basedOn w:val="673"/>
    <w:next w:val="673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Заголовок Знак"/>
    <w:basedOn w:val="683"/>
    <w:link w:val="711"/>
    <w:uiPriority w:val="10"/>
    <w:rPr>
      <w:sz w:val="48"/>
      <w:szCs w:val="48"/>
    </w:rPr>
  </w:style>
  <w:style w:type="paragraph" w:styleId="713">
    <w:name w:val="Subtitle"/>
    <w:basedOn w:val="673"/>
    <w:next w:val="673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basedOn w:val="683"/>
    <w:link w:val="713"/>
    <w:uiPriority w:val="11"/>
    <w:rPr>
      <w:sz w:val="24"/>
      <w:szCs w:val="24"/>
    </w:rPr>
  </w:style>
  <w:style w:type="paragraph" w:styleId="715">
    <w:name w:val="Quote"/>
    <w:basedOn w:val="673"/>
    <w:next w:val="673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73"/>
    <w:next w:val="673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73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83"/>
    <w:link w:val="719"/>
    <w:uiPriority w:val="99"/>
  </w:style>
  <w:style w:type="paragraph" w:styleId="721">
    <w:name w:val="Footer"/>
    <w:basedOn w:val="6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83"/>
    <w:uiPriority w:val="99"/>
  </w:style>
  <w:style w:type="paragraph" w:styleId="723">
    <w:name w:val="Caption"/>
    <w:basedOn w:val="673"/>
    <w:next w:val="67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4" w:customStyle="1">
    <w:name w:val="Нижний колонтитул Знак"/>
    <w:link w:val="721"/>
    <w:uiPriority w:val="99"/>
  </w:style>
  <w:style w:type="table" w:styleId="725">
    <w:name w:val="Table Grid"/>
    <w:basedOn w:val="68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 w:customStyle="1">
    <w:name w:val="Таблица простая 11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Таблица простая 21"/>
    <w:basedOn w:val="68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 w:customStyle="1">
    <w:name w:val="Таблица простая 3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 w:customStyle="1">
    <w:name w:val="Таблица простая 4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Таблица простая 5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 w:customStyle="1">
    <w:name w:val="Таблица-сетка 1 светл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-сетка 2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Таблица-сетка 3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41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5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6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7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8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9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0" w:customStyle="1">
    <w:name w:val="Таблица-сетка 5 тем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7" w:customStyle="1">
    <w:name w:val="Таблица-сетка 6 цвет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9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0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1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2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Таблица-сетка 7 цвет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Список-таблица 1 светлая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Список-таблица 2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5" w:customStyle="1">
    <w:name w:val="Список-таблица 3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Список-таблица 4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Список-таблица 5 тем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Список-таблица 6 цвет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8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0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2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3" w:customStyle="1">
    <w:name w:val="Список-таблица 7 цветная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2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3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4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5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6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7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6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7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8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9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0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1">
    <w:name w:val="footnote text"/>
    <w:basedOn w:val="673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 w:customStyle="1">
    <w:name w:val="Текст сноски Знак"/>
    <w:link w:val="851"/>
    <w:uiPriority w:val="99"/>
    <w:rPr>
      <w:sz w:val="18"/>
    </w:rPr>
  </w:style>
  <w:style w:type="character" w:styleId="853">
    <w:name w:val="footnote reference"/>
    <w:basedOn w:val="683"/>
    <w:uiPriority w:val="99"/>
    <w:unhideWhenUsed/>
    <w:rPr>
      <w:vertAlign w:val="superscript"/>
    </w:rPr>
  </w:style>
  <w:style w:type="paragraph" w:styleId="854">
    <w:name w:val="endnote text"/>
    <w:basedOn w:val="673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 w:customStyle="1">
    <w:name w:val="Текст концевой сноски Знак"/>
    <w:link w:val="854"/>
    <w:uiPriority w:val="99"/>
    <w:rPr>
      <w:sz w:val="20"/>
    </w:rPr>
  </w:style>
  <w:style w:type="character" w:styleId="856">
    <w:name w:val="endnote reference"/>
    <w:basedOn w:val="683"/>
    <w:uiPriority w:val="99"/>
    <w:semiHidden/>
    <w:unhideWhenUsed/>
    <w:rPr>
      <w:vertAlign w:val="superscript"/>
    </w:rPr>
  </w:style>
  <w:style w:type="paragraph" w:styleId="857">
    <w:name w:val="toc 1"/>
    <w:basedOn w:val="673"/>
    <w:next w:val="673"/>
    <w:uiPriority w:val="39"/>
    <w:unhideWhenUsed/>
    <w:pPr>
      <w:spacing w:after="57"/>
    </w:pPr>
  </w:style>
  <w:style w:type="paragraph" w:styleId="858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59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60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61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62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63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64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65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673"/>
    <w:next w:val="673"/>
    <w:uiPriority w:val="99"/>
    <w:unhideWhenUsed/>
    <w:pPr>
      <w:spacing w:after="0"/>
    </w:pPr>
  </w:style>
  <w:style w:type="paragraph" w:styleId="868">
    <w:name w:val="Body Text"/>
    <w:basedOn w:val="673"/>
    <w:link w:val="869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character" w:styleId="869" w:customStyle="1">
    <w:name w:val="Основной текст Знак"/>
    <w:basedOn w:val="683"/>
    <w:link w:val="868"/>
    <w:rPr>
      <w:rFonts w:ascii="Times New Roman" w:hAnsi="Times New Roman" w:eastAsia="Times New Roman" w:cs="Times New Roman"/>
      <w:sz w:val="20"/>
      <w:szCs w:val="20"/>
    </w:rPr>
  </w:style>
  <w:style w:type="paragraph" w:styleId="870">
    <w:name w:val="List Paragraph"/>
    <w:basedOn w:val="673"/>
    <w:uiPriority w:val="34"/>
    <w:qFormat/>
    <w:pPr>
      <w:contextualSpacing/>
      <w:ind w:left="720"/>
    </w:pPr>
  </w:style>
  <w:style w:type="paragraph" w:styleId="871">
    <w:name w:val="Balloon Text"/>
    <w:basedOn w:val="673"/>
    <w:link w:val="87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basedOn w:val="683"/>
    <w:link w:val="871"/>
    <w:uiPriority w:val="99"/>
    <w:semiHidden/>
    <w:rPr>
      <w:rFonts w:ascii="Tahoma" w:hAnsi="Tahoma" w:cs="Tahoma"/>
      <w:sz w:val="16"/>
      <w:szCs w:val="16"/>
    </w:rPr>
  </w:style>
  <w:style w:type="character" w:styleId="873" w:customStyle="1">
    <w:name w:val="Основной текст_"/>
    <w:link w:val="874"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paragraph" w:styleId="874" w:customStyle="1">
    <w:name w:val="Основной текст2"/>
    <w:basedOn w:val="673"/>
    <w:link w:val="873"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875">
    <w:name w:val="Normal (Web)"/>
    <w:basedOn w:val="67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6">
    <w:name w:val="No Spacing"/>
    <w:uiPriority w:val="1"/>
    <w:qFormat/>
    <w:pPr>
      <w:spacing w:after="0" w:line="240" w:lineRule="auto"/>
    </w:pPr>
  </w:style>
  <w:style w:type="character" w:styleId="877">
    <w:name w:val="Hyperlink"/>
    <w:basedOn w:val="683"/>
    <w:uiPriority w:val="99"/>
    <w:semiHidden/>
    <w:unhideWhenUsed/>
    <w:rPr>
      <w:color w:val="0000ff"/>
      <w:u w:val="single"/>
    </w:rPr>
  </w:style>
  <w:style w:type="character" w:styleId="878" w:customStyle="1">
    <w:name w:val="Заголовок 2 Знак"/>
    <w:basedOn w:val="683"/>
    <w:link w:val="675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79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A0461-348B-4C5B-8C5B-D9334359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Ражина</dc:creator>
  <cp:lastModifiedBy>konovalenkoan</cp:lastModifiedBy>
  <cp:revision>178</cp:revision>
  <dcterms:created xsi:type="dcterms:W3CDTF">2022-09-15T06:40:00Z</dcterms:created>
  <dcterms:modified xsi:type="dcterms:W3CDTF">2025-01-20T05:26:25Z</dcterms:modified>
</cp:coreProperties>
</file>