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Об итогах работы ТФОМС Липецкой области за 2025 год.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ind w:firstLine="720"/>
        <w:jc w:val="both"/>
        <w:spacing w:after="0" w:line="283" w:lineRule="atLeast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 период январь-декабрь 2025 года доходы бюджета территориального фонда ОМС сложились в размере 24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194,0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что составляет 100,0% от утвержденных законом бюджетных назначений и 109,4% к доходам аналогичного периода 2024 года (22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106,3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6"/>
        <w:ind w:firstLine="720"/>
        <w:jc w:val="both"/>
        <w:spacing w:after="0" w:line="283" w:lineRule="atLeast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бюджет территориального фонда обязательного медицинского страхования Липецкой области за этот период поступило средств в виде: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23 310,8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межбюджетных трансфертов, полученных из областного бюджета на финансовое обеспечение дополнительны</w:t>
      </w:r>
      <w:r>
        <w:rPr>
          <w:rFonts w:ascii="Times New Roman" w:hAnsi="Times New Roman" w:cs="Times New Roman"/>
          <w:sz w:val="28"/>
          <w:szCs w:val="28"/>
        </w:rPr>
        <w:t xml:space="preserve">х видов и условий оказания медицинской помощи, не установленных базовой программой обязательного медицинского страхования, а также на дополнительное финансирование медицинской помощи в части базовой программы ОМС (на онкологию) в размере 353,6 млн. рублей.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6"/>
        <w:ind w:firstLine="720"/>
        <w:jc w:val="both"/>
        <w:spacing w:line="276" w:lineRule="auto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Рост сопоставимых вышеуказанных доходов фонда для финансового обеспечения реализации территориальной программы ОМС за 2025 год составил 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051,5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или 9,5%.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 2025 год медицинскими организациями предъявлен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оплату медицинск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помощ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сумме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23 233,5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что составляет 99,7% от утвержденной стоимости программы и 109,8% к аналогичному показателю прошлого года (21 158,0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), в том числе: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46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стоимость амбулаторно</w:t>
      </w:r>
      <w:r>
        <w:rPr>
          <w:sz w:val="28"/>
          <w:szCs w:val="28"/>
        </w:rPr>
        <w:t xml:space="preserve">й медицинской </w:t>
      </w:r>
      <w:r>
        <w:rPr>
          <w:sz w:val="28"/>
          <w:szCs w:val="28"/>
        </w:rPr>
        <w:t xml:space="preserve">помощи утверждена в сумме 8 933,1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фактическое выполнение составило – 8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802,3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или 98,5% от утвержденной </w:t>
      </w:r>
      <w:r>
        <w:rPr>
          <w:sz w:val="28"/>
          <w:szCs w:val="28"/>
        </w:rPr>
        <w:t xml:space="preserve">стоимости </w:t>
      </w:r>
      <w:r>
        <w:rPr>
          <w:sz w:val="28"/>
          <w:szCs w:val="28"/>
        </w:rPr>
        <w:t xml:space="preserve">и 99,7 % к соответствующему показателю прошлого года (8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825,9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6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стоимость стационарной </w:t>
      </w:r>
      <w:r>
        <w:rPr>
          <w:sz w:val="28"/>
          <w:szCs w:val="28"/>
        </w:rPr>
        <w:t xml:space="preserve">медицинской </w:t>
      </w:r>
      <w:r>
        <w:rPr>
          <w:sz w:val="28"/>
          <w:szCs w:val="28"/>
        </w:rPr>
        <w:t xml:space="preserve">помощи утверждена в сумме 10 581,3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фактическое выполнение составило 10 815,7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или 102,2% от утвержденной </w:t>
      </w:r>
      <w:r>
        <w:rPr>
          <w:sz w:val="28"/>
          <w:szCs w:val="28"/>
        </w:rPr>
        <w:t xml:space="preserve">стоимости </w:t>
      </w:r>
      <w:r>
        <w:rPr>
          <w:sz w:val="28"/>
          <w:szCs w:val="28"/>
        </w:rPr>
        <w:t xml:space="preserve">и 119,4% к аналогичному показателю прошлого года (9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060,4 млн.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), в том числе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 профилю «онкология» выполнение составило 109,6% (1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424,4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) от утвержденного и 118,4% от уровня прошлого года (1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203,4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6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стоимость медицинской помощи в дневных стационарах утверждена в сумме 2 338,7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фактически выполнено – 2 206,5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или 94,3% от утвержденной стоимости и 93,1% к соответствующему показателю 2024 года (2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369,7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6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стоимость скорой медицинской помощи утверждена в сумме 1 444,6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фактически выполнено – 1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425,2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или 98,7% от утвержденной </w:t>
      </w:r>
      <w:r>
        <w:rPr>
          <w:sz w:val="28"/>
          <w:szCs w:val="28"/>
        </w:rPr>
        <w:t xml:space="preserve">стоимости </w:t>
      </w:r>
      <w:r>
        <w:rPr>
          <w:sz w:val="28"/>
          <w:szCs w:val="28"/>
        </w:rPr>
        <w:t xml:space="preserve">и 116,6% к соответствующему показателю прошлого года (1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222,8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46"/>
        <w:ind w:firstLine="720"/>
        <w:jc w:val="both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</w:t>
      </w:r>
      <w:r>
        <w:rPr>
          <w:sz w:val="28"/>
          <w:szCs w:val="28"/>
          <w:lang w:eastAsia="ru-RU"/>
        </w:rPr>
        <w:t xml:space="preserve"> </w:t>
      </w:r>
      <w:r>
        <w:rPr>
          <w:sz w:val="28"/>
          <w:szCs w:val="28"/>
          <w:lang w:eastAsia="ru-RU"/>
        </w:rPr>
        <w:t xml:space="preserve">по стационарной </w:t>
      </w:r>
      <w:r>
        <w:rPr>
          <w:sz w:val="28"/>
          <w:szCs w:val="28"/>
          <w:lang w:eastAsia="ru-RU"/>
        </w:rPr>
        <w:t xml:space="preserve">медицинской </w:t>
      </w:r>
      <w:r>
        <w:rPr>
          <w:sz w:val="28"/>
          <w:szCs w:val="28"/>
          <w:lang w:eastAsia="ru-RU"/>
        </w:rPr>
        <w:t xml:space="preserve">помощи – на 104,4%, и на 98,9% от уровня прошлого года (212</w:t>
      </w:r>
      <w:r>
        <w:rPr>
          <w:sz w:val="28"/>
          <w:szCs w:val="28"/>
          <w:lang w:eastAsia="ru-RU"/>
        </w:rPr>
        <w:t xml:space="preserve"> </w:t>
      </w:r>
      <w:r>
        <w:rPr>
          <w:sz w:val="28"/>
          <w:szCs w:val="28"/>
          <w:lang w:eastAsia="ru-RU"/>
        </w:rPr>
        <w:t xml:space="preserve">514 случаев в 2025 году и 214</w:t>
      </w:r>
      <w:r>
        <w:rPr>
          <w:sz w:val="28"/>
          <w:szCs w:val="28"/>
          <w:lang w:eastAsia="ru-RU"/>
        </w:rPr>
        <w:t xml:space="preserve"> </w:t>
      </w:r>
      <w:r>
        <w:rPr>
          <w:sz w:val="28"/>
          <w:szCs w:val="28"/>
          <w:lang w:eastAsia="ru-RU"/>
        </w:rPr>
        <w:t xml:space="preserve">887 случаев в </w:t>
      </w:r>
      <w:r>
        <w:rPr>
          <w:sz w:val="28"/>
          <w:szCs w:val="28"/>
          <w:lang w:eastAsia="ru-RU"/>
        </w:rPr>
        <w:t xml:space="preserve">2024 году</w:t>
      </w:r>
      <w:r>
        <w:rPr>
          <w:sz w:val="28"/>
          <w:szCs w:val="28"/>
          <w:lang w:eastAsia="ru-RU"/>
        </w:rPr>
        <w:t xml:space="preserve">)</w:t>
      </w:r>
      <w:r>
        <w:rPr>
          <w:sz w:val="28"/>
          <w:szCs w:val="28"/>
          <w:lang w:eastAsia="ru-RU"/>
        </w:rPr>
        <w:t xml:space="preserve">;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амбулаторно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помощи – на 105,3%, и 99,1% от уровня прошлого года по посещениям с проф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илактическими и иными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целями и на 120,2% и 111,0% от прошлого года по обращениям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связи с заболеваниями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(102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1193 посещений против 919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671 посещений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рошлый период и 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742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654 обращений против 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910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697 обращений в 2024 году), по посещениям в неотложной форме объемы выполнены на 99,3% от утвержденного показателя и на 117,2% от показателя прошлого года (627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972 посещений против 535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757 посещений за 2024 год);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46"/>
        <w:ind w:firstLine="720"/>
        <w:jc w:val="both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</w:t>
      </w:r>
      <w:r>
        <w:rPr>
          <w:sz w:val="28"/>
          <w:szCs w:val="28"/>
          <w:lang w:eastAsia="ru-RU"/>
        </w:rPr>
        <w:t xml:space="preserve"> </w:t>
      </w:r>
      <w:r>
        <w:rPr>
          <w:sz w:val="28"/>
          <w:szCs w:val="28"/>
          <w:lang w:eastAsia="ru-RU"/>
        </w:rPr>
        <w:t xml:space="preserve">по медицинской помощи, оказанной в дневных стационарах,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- на 103,1%, и на 101,7% к показателю прошлого года (79</w:t>
      </w:r>
      <w:r>
        <w:rPr>
          <w:sz w:val="28"/>
          <w:szCs w:val="28"/>
          <w:lang w:eastAsia="ru-RU"/>
        </w:rPr>
        <w:t xml:space="preserve"> </w:t>
      </w:r>
      <w:r>
        <w:rPr>
          <w:sz w:val="28"/>
          <w:szCs w:val="28"/>
          <w:lang w:eastAsia="ru-RU"/>
        </w:rPr>
        <w:t xml:space="preserve">825 случаев в 2025 году против 78</w:t>
      </w:r>
      <w:r>
        <w:rPr>
          <w:sz w:val="28"/>
          <w:szCs w:val="28"/>
          <w:lang w:eastAsia="ru-RU"/>
        </w:rPr>
        <w:t xml:space="preserve"> </w:t>
      </w:r>
      <w:r>
        <w:rPr>
          <w:sz w:val="28"/>
          <w:szCs w:val="28"/>
          <w:lang w:eastAsia="ru-RU"/>
        </w:rPr>
        <w:t xml:space="preserve">478 в 2024 году)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скорой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медицинской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помощи – на 86,8%, и 105,8% от уровня аналогичного показателя прошлого года (291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948 вызовов против 275 994 вызовов в 2024 году).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46"/>
        <w:jc w:val="both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В части </w:t>
      </w:r>
      <w:r>
        <w:rPr>
          <w:sz w:val="28"/>
          <w:szCs w:val="28"/>
          <w:lang w:eastAsia="ru-RU"/>
        </w:rPr>
        <w:t xml:space="preserve">медицинской помощи </w:t>
      </w:r>
      <w:r>
        <w:rPr>
          <w:sz w:val="28"/>
          <w:szCs w:val="28"/>
          <w:lang w:eastAsia="ru-RU"/>
        </w:rPr>
        <w:t xml:space="preserve">по профилю</w:t>
      </w:r>
      <w:r>
        <w:rPr>
          <w:sz w:val="28"/>
          <w:szCs w:val="28"/>
          <w:lang w:eastAsia="ru-RU"/>
        </w:rPr>
        <w:t xml:space="preserve"> «Медицинская реабилитация» утвержденные объемы медицинской помощи в 2025 году выполнены: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746"/>
        <w:ind w:firstLine="708"/>
        <w:jc w:val="both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</w:t>
      </w:r>
      <w:r>
        <w:rPr>
          <w:sz w:val="28"/>
          <w:szCs w:val="28"/>
          <w:lang w:eastAsia="ru-RU"/>
        </w:rPr>
        <w:t xml:space="preserve"> </w:t>
      </w:r>
      <w:r>
        <w:rPr>
          <w:sz w:val="28"/>
          <w:szCs w:val="28"/>
          <w:lang w:eastAsia="ru-RU"/>
        </w:rPr>
        <w:t xml:space="preserve">в стационар</w:t>
      </w:r>
      <w:r>
        <w:rPr>
          <w:sz w:val="28"/>
          <w:szCs w:val="28"/>
          <w:lang w:eastAsia="ru-RU"/>
        </w:rPr>
        <w:t xml:space="preserve">ных условиях</w:t>
      </w:r>
      <w:r>
        <w:rPr>
          <w:sz w:val="28"/>
          <w:szCs w:val="28"/>
          <w:lang w:eastAsia="ru-RU"/>
        </w:rPr>
        <w:t xml:space="preserve"> – на 82% по объемам и 112,2% по финансовому обеспечению;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746"/>
        <w:ind w:firstLine="708"/>
        <w:jc w:val="both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</w:t>
      </w:r>
      <w:r>
        <w:rPr>
          <w:sz w:val="28"/>
          <w:szCs w:val="28"/>
          <w:lang w:eastAsia="ru-RU"/>
        </w:rPr>
        <w:t xml:space="preserve"> </w:t>
      </w:r>
      <w:r>
        <w:rPr>
          <w:sz w:val="28"/>
          <w:szCs w:val="28"/>
          <w:lang w:eastAsia="ru-RU"/>
        </w:rPr>
        <w:t xml:space="preserve">в условиях дневного стационара - на 114,3% по объемам и 109,0% по финансовому обеспечению.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ind w:firstLine="720"/>
        <w:jc w:val="both"/>
        <w:spacing w:after="0" w:line="283" w:lineRule="atLeast"/>
        <w:widowControl w:val="off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Стоимость специализированной медицинской помощи пациентам со злокачественными новообразованиями (ЗНО), принятой к оплате, за 2025 год составила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425,2 млн. рублей (101% от запланированной суммы –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401,7 млн. рублей), в том числе в стационарных условиях –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424,5 млн. рублей, в условиях дневного стационара – 1 000,7 млн. рублей.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after="0" w:line="283" w:lineRule="atLeast"/>
        <w:widowControl w:val="off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Средняя стоимость 1 случая специализированного лечения пациентов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ЗНО за отчетный период составила в целом 64,6 тыс. рублей, в стационарных условиях – 68,9 тыс. рублей (при плановой средней стоимости 96,9 тыс. рублей), в условиях дневного стационара – 59,3 тыс. рублей (при плановой средней стоимости 76,2 тыс. рублей).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shd w:val="clear" w:color="ffffff" w:fill="ffffff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Объем специализированной медицинской помощи пациентам с ЗНО за 2025 год составил 37 561 случа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й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, в том числе в круглосуточном стационаре – 20 688 случа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ев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(154% от запланированного объема – 13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413 госпитализаций), в дневном стационаре – 16 873 случаев (117% от запланированного объема – 14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464 госпитализаций).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План проведения диспансеризации взрослого населения, включая углубленную и по оценке репродуктивного здоровья, на 2025 год установлен в количестве 533 420 человек. Фактически осмотрено в рамках диспансеризации, включая  лиц, </w:t>
      </w:r>
      <w:r>
        <w:rPr>
          <w:rFonts w:ascii="Times New Roman" w:hAnsi="Times New Roman" w:cs="Times New Roman"/>
          <w:sz w:val="28"/>
          <w:szCs w:val="28"/>
        </w:rPr>
        <w:t xml:space="preserve">застрахованных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Липецкой области,</w:t>
      </w:r>
      <w:r>
        <w:rPr>
          <w:rFonts w:ascii="Times New Roman" w:hAnsi="Times New Roman" w:cs="Times New Roman"/>
          <w:sz w:val="28"/>
          <w:szCs w:val="28"/>
        </w:rPr>
        <w:t xml:space="preserve"> прошедших ДВН за пределами страхования – 542 157 человек или 101,6% от утвержденного плана. Всего оплачено счетов за проведенную диспансеризацию в рамках 1 и 2 этапов на сумму 1 600,2 млн. рублей, из них на территории страхования - 1 598,2 млн. рублей.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лан по реализации профилактических медицинских осмотров взрослого населения на январь-декабрь 2025 года установлен в размере 105 492 человек. Фактически осмотрено 100,2 % от утвержденного плана или 105 691 человек. Общая сумма за проведение профилактически</w:t>
      </w:r>
      <w:r>
        <w:rPr>
          <w:rFonts w:ascii="Times New Roman" w:hAnsi="Times New Roman" w:cs="Times New Roman"/>
          <w:sz w:val="28"/>
          <w:szCs w:val="28"/>
        </w:rPr>
        <w:t xml:space="preserve">х медицинских осмотров, принятая к оплате за отчетный период 2025 года, составила 185,3 млн. рублей.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Пл</w:t>
      </w:r>
      <w:r>
        <w:rPr>
          <w:rFonts w:ascii="Times New Roman" w:hAnsi="Times New Roman" w:cs="Times New Roman"/>
          <w:sz w:val="28"/>
          <w:szCs w:val="28"/>
        </w:rPr>
        <w:t xml:space="preserve">ан по проведению профилактических медицинских осмотров несовершеннолетних на январь-декабрь 2025 года установлен в количестве 187 003 человека. Фактически осмотрено 187 305 человек или 100,2% от утвержденного плана на 12 месяцев 2025 года, сумма принятая к</w:t>
      </w:r>
      <w:r>
        <w:rPr>
          <w:rFonts w:ascii="Times New Roman" w:hAnsi="Times New Roman" w:cs="Times New Roman"/>
          <w:sz w:val="28"/>
          <w:szCs w:val="28"/>
        </w:rPr>
        <w:t xml:space="preserve"> оплате составила 691,4 млн. рублей. Из 19 медицинских организаций, проводивших профилактические медицинские осмотры несовершеннолетних, не выполнили установленный план - 13 МО, в том числе: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1.</w:t>
        <w:tab/>
        <w:t xml:space="preserve">ГУЗ Липецкая городская больница № 4 «Липецк-Мед» - 88%;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2.</w:t>
        <w:tab/>
        <w:t xml:space="preserve">ГУЗ «Липецкая городская поликлиника № 4» - 98%;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3.</w:t>
        <w:tab/>
        <w:t xml:space="preserve">ГУЗ «Елецкая городская детская больница» - 98%;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4.</w:t>
        <w:tab/>
        <w:t xml:space="preserve">ГУЗ «Грязинская ЦРБ» - 97%;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5.</w:t>
        <w:tab/>
        <w:t xml:space="preserve">ГУЗ «Данковская ЦРБ» - 92%;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6.</w:t>
        <w:tab/>
        <w:t xml:space="preserve">ГУЗ «Добровская РБ» - 92%;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7.</w:t>
        <w:tab/>
        <w:t xml:space="preserve">ГУЗ «Долгоруковская РБ» - 93%;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8.</w:t>
        <w:tab/>
        <w:t xml:space="preserve">ГУЗ «Елецкая РБ» - 90%;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9.</w:t>
        <w:tab/>
        <w:t xml:space="preserve">ГУЗ «Задонская ЦРБ» - 82%;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10.</w:t>
        <w:tab/>
        <w:t xml:space="preserve">ГУЗ «Лебедянская ЦРБ» - 91%;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11.</w:t>
        <w:tab/>
        <w:t xml:space="preserve">ГУЗ «Липецкая РБ» - 98%;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12.</w:t>
        <w:tab/>
        <w:t xml:space="preserve">ГУЗ «Становлянская РБ» - 87%;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13.</w:t>
        <w:tab/>
        <w:t xml:space="preserve">ГУЗ «Тербунская ЦРБ» - 97%;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лан по диспансеризации детей-сирот, усыновленных и принятых под опеку на январь-декабрь 2025 года составил 1 533 человек. Фактически осмотрено 87,1% от утвержденного плана или 1 336 человек на сумму 7,1 млн. рублей. Из 19 медицинских организаций, проводивш</w:t>
      </w:r>
      <w:r>
        <w:rPr>
          <w:rFonts w:ascii="Times New Roman" w:hAnsi="Times New Roman" w:cs="Times New Roman"/>
          <w:sz w:val="28"/>
          <w:szCs w:val="28"/>
        </w:rPr>
        <w:t xml:space="preserve">их диспансеризацию детей-сирот, усыновленных и принятых под опеку, не выполнили установленный план - 8 МО, в том числе: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1.</w:t>
        <w:tab/>
        <w:t xml:space="preserve">ГУЗ «Липецкая городская детская больница»  - 98%;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2.</w:t>
        <w:tab/>
        <w:t xml:space="preserve">ГУЗ «Елецкая городская детская больница» - 46%;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3.</w:t>
        <w:tab/>
        <w:t xml:space="preserve">ГУЗ «Данковская ЦРБ» -72%;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4.</w:t>
        <w:tab/>
        <w:t xml:space="preserve">ГУЗ «Добровская  РБ» - 89%;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5.</w:t>
        <w:tab/>
        <w:t xml:space="preserve">ГУЗ «Долгоруковская РБ» - 86%;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6.</w:t>
        <w:tab/>
        <w:t xml:space="preserve">ГУЗ «Елецкая РБ» - 95%;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7.</w:t>
        <w:tab/>
        <w:t xml:space="preserve">ГУЗ «Лебедянская ЦРБ» - 87%;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8.</w:t>
        <w:tab/>
        <w:t xml:space="preserve">ГУЗ «Липецкая РБ» - 97%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по диспансеризации детей-сирот, пребывающих в стационарных учреждениях на 2025 год составил 732 человека. Фактически обследовано 702 ребенка, что составило 95,9% от утвержденного плана, на сумму 3,3 млн. рублей.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Число пациентов, подлежащих диспансерному наблюдению в 2025 году составило 262 803 человека. Получили услуги по диспансерному наблюдению 220 191 человек или 84% от планового показателя. В 2025 году проведено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325 528 комплексных посещений по диспансерному наблюдению, что составляет 110% от планового объема (296 310 посещений)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За январь-декабрь 2025 года медицинскими организациями Липецкой области оказана медицинская помощь 24 248 иногородним пациентам на общую сумму 479,9 млн. рублей, которая оплачена по предъявленным счетам и реестрам в полном объеме.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Медицинскими организациями Липецкой области лицам, застрахованным на других территориях РФ, оказана медицинская помощь по следующим основным профилям: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акушерство и гинекология – 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397 случаев на сумму 23,7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кардиология – 933 случая на сумму 24,1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нефрология – 1 339 случаев на сумму 11,2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нейрохирургия – 274 случая на сумму 6,0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неврология – 2 163 случая на сумму 23,9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онкология - 707 случаев на сумму 18,5 млн. рублей (в т.ч. химиотерапия – 161 случаев на сумму 10,7 млн. рублей);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офтальмология – 6 433 случая на сумму 87,8 млн. 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травматология и ортопедия – 2 981 случай на сумму 17,8 млн.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За январь-декабрь 2025 года территориальными фондами ОМС других субъектов РФ предъявлено счетов и реестров за оказанную медицинскую помощь 21 755 пациентам,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застрахованным на территории Липецкой области, на сумму 999,0 млн. рублей, в том числе по высокотехнологичной медицинской помощи – 152,1 млн. рублей. Оплачено за январь-декабрь 2025 год с учетом сложившегося остатка на 01.01.2025 года (6,9 млн. рублей) – 1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005,9 млн. рублей. Задолженность по оплате счетов на 01.01.2026 отсутствует.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Медицинскими организациями других субъектов Российской Федерации, пациентам, застрахованным на территории Липецкой области, медицинская помощь оказана по следующим основным профилям: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 акушерство и гинекология – 4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616 случаев на сумму 33,5 млн. рублей (в т.ч. ЭКО - 66 случаев на сумму 7,2 млн. рублей);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 инфекционные болезни – 910 случая на сумму 16,0 млн. рублей;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 кардиология – 1 404 случая на сумму 32,5 млн. рублей;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медицинская реабилитация – 268 случаев на сумму 17,4 млн. рублей;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 неврология – 1 508 случаев на сумму 32,8 млн. рублей;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нейрохирургия – 534 случая на сумму 22,5 млн. рублей;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 онкология – 13 247 случаев на сумму 377,5 млн. рублей (в т.ч. -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химиотерапия – 844 случая на сумму 238,1 млн. рублей);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 офтальмология – 2 598 случаев на сумму 13,8 млн. рублей;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 сердечно-сосудистая хирургия - 450 случаев на сумму 49,9 млн. рублей;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 травматология и ортопедия – 4 023 случаев на сумму 120,7 млн. рублей;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 урология – 797 случаев на сумму 14,8 млн. рублей.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pStyle w:val="772"/>
        <w:ind w:left="0" w:firstLine="709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Расходы медицинских организаций за январь-декабрь 2025 года составили 22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644,1 млн. рублей, что выше показателя прошлого года на 11,9% или 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410,1 млн. рублей (20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234,0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), в том числе: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72"/>
        <w:ind w:left="0" w:firstLine="709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на оплату труда с начислениями – 15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935,3 млн. рублей, что составляет 113,3% от уровня прошлого года (14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058,9 млн. рублей);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72"/>
        <w:ind w:left="0" w:firstLine="709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оплата за медикаменты – 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117,7 млн. рублей, что ниже на 1,1% уровня прошлого года (3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151,7 млн. рублей);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72"/>
        <w:ind w:left="0" w:firstLine="709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оплата за продукты питания – 292,3 млн. рублей, что выше показателя прошлого года на 28,8% (227,0 млн. рублей);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72"/>
        <w:ind w:left="0" w:firstLine="709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расходы, услуги по содержанию имущества – 497,8 млн. рублей, что выше уровня прошлого года на 16,7% (426,7 млн. рублей);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72"/>
        <w:ind w:left="0" w:firstLine="709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оплата коммунальных услуг – 597,5 млн. рублей, что выше уровня прошлого года на 4,0% (574,8 млн. рублей).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72"/>
        <w:ind w:left="0" w:firstLine="709"/>
        <w:jc w:val="both"/>
        <w:spacing w:after="0"/>
        <w:rPr>
          <w:rFonts w:eastAsia="Times New Roman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арендная плата за пользование имуществом – 283,2 млн. рублей, что выше уровня показателя прошлого года на 27,2% или на 61,9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(222,6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).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pStyle w:val="772"/>
        <w:ind w:left="0" w:firstLine="709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Таким образом, наибольшую долю в структуре расходов занимают расходы на заработн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ую плату с начислениями – 70,4%, при этом темпы роста данных расходов в сравнении с предыдущим периодом не превышают темпы роста по другим видам расходов (рост расходов на продукты питания 28,8%, расходов на арендную плату за пользование имуществом 27,2%).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72"/>
        <w:ind w:left="0" w:firstLine="709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Наиболее высокий темп роста расходов медицинских организаций за 2025 год наблюдается по расходам на продукты питания – 128,8% и по расходам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арендную плату за пользование имуществом – 127,2%, а также по расходам на приобретение мягкого инвентаря - 181,0%, при этом доля этих расходов в общем объеме расходов медицинских организаций незначительна - 1,3%, 1,3% и 0,1% соответственно.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Средняя заработная плата работников государственных медицинских организаций Липецкой области в системе ОМС за 12 месяцев 2025 года составила 55,4 тыс. рублей, что на 15,6% выше аналогичного показателя прошлого года (47,94 тыс. рублей) в том числе: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12,6% и составила 57,26 тыс. рублей (12 месяцев 2024 года – 50,84 тыс.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в стационарном звене рост средней зарплаты медицинских работников составил 17,3 % - 71,08 тыс. рублей (январь-декабрь 2024 года – 60,61 тыс.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в подразделениях скорой медицинской помощи средняя зарплата медицинских работников из средств ОМС составила 66,29 тыс. рублей, рост – 4,8 % (январь-декабрь 2024 года – 63,26 тыс. рублей).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Средняя заработная плата по категориям персонала в отчетном периоде по сравнению с аналогичным периодом прошлого года сложилась следующим образом: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врачебным кадрам средняя зарплата увеличилась на 12,4% и составила 98,69 тыс. рублей (87,8 тыс. рублей за 12 месяцев 2024 года);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среднему медицинскому персоналу средняя заработная плата составила 53,84 тыс. рублей (в 2024 году - 46,92 тыс. рублей), увеличение произошло на 14,7%;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младшему медицинскому персоналу средняя зарплата увеличилась на 18% и составила 51,48 тыс. рублей (показатель за 12 месяцев 2024 года был равен 43,63 тыс. рублей);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прочему персоналу средняя заработная плата достигла уровня 34,98 тыс. рублей, за 12 месяцев 2024 года данный показатель составлял 30,03 тыс. рублей, т.е. динамика роста составила + 16,5%;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по АУП средняя зарплата увеличилась на 17,1% и составила 88,4 тыс. рублей (уровень за январь-декабрь 2024 года составлял - 75,48 тыс. рублей).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исполнение пункта 7.1 части 2 статьи 20 Федерального закона № 326-Ф3 «Об обязательном медицинском страховании», Правил использования средств нормированного страхового запаса, на 2025 год был утвержден План мероприятий по организации дополнительного профе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42 465,4 тыс. рублей, в том числе на дополнительное профессиональное образование медицинск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их работников – 1 093,5 тыс. рублей, на проведение ремонта медицинского оборудования – 15 078,1 тыс. рублей, на приобретение медицинского оборудования – 26 293,8 тыс. рублей.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2025 году были подписаны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борудования с 16 медицинскими организациями Липецкой области.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ТФОМС Липецкой области на основании утвержденного плана мероприятий были направлены денежные средства нормированного страхового запаса в медицинские организации в соответствии с заявками на перечисление, сформированными медицинскими учреждениями в информац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ионной системе ГИС-ОМС, в полном объеме.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lang w:eastAsia="ru-RU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аспоряжением Правительства Российской Федерации от 05.12.2024г. № 3581-р в целях реализации пункта 4 части 6 статьи 26 Федерального закона № 326-ФЗ «Об обязательном медицинском страховании в Российской Федерации» для Липецкой области на 2025 год было преду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мотрено финансовое обеспечение в размере 25 414,1 тыс. рублей на софинансирование расходов медицинских организаций на оплату труда врачей и среднего медицинского персонала за счет средств нормированного страхового запаса. С учетом фактической потребности 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ицинских организаций, Федеральным фондом ОМС в бюджет ТФОМС Липецкой области было направлено свыше 43 млн. рублей. Из средств нормированного страхового запаса за 12 месяцев 2025 года осуществлено финансирование заработной платы 566 медицинских работников,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(в том числе 319 врачей и 247 человек среднего медицинского персонала).</w:t>
      </w:r>
      <w:r>
        <w:rPr>
          <w:rFonts w:ascii="Times New Roman" w:hAnsi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lang w:eastAsia="ru-RU"/>
          <w14:ligatures w14:val="none"/>
        </w:rPr>
      </w:r>
    </w:p>
    <w:p>
      <w:pPr>
        <w:ind w:firstLine="708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2025 год, распоряжением правительства РФ от 07.12.2024 № 3609-р на реализацию мероприятий по осуществлению денежных выплат стимулирующего характера медицинским рабо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тникам за выявление онкологических заболеваний в ходе проведения диспансеризации и профилактических медицинских осмотров населения выделено 270,7 тыс. рублей. За 2025 год в медицинские организации области перечислено 577,2 тыс. рублей (213%) - 346 случаев.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29.11.2010 № 326-ФЗ «Об обязательном медицинском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страховании в Российской Федерации» и действующими нормативными документами в области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организациями и страховыми медицинскими организациями путем проведения проверок.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 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план проверок на 2025 год включены 46 медицинских организаций и 2 страховые медицинские организации.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 период январь - декабрь 2025 года проведено 60 проверок, в том числе: в медицинских организациях — 53 проверки, из них: 46 плановые проверки, 6- внеплановые тематические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проверки в связи с реорганизацией медицинских организаций и прекра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щением действия договора на оказание и оплату медицинской помощи по обязательному медицинскому страхованию, 1 контрольная проверка в целях изучения результатов работы медицинской организации по устранению нарушений, выявленных в ходе комплексной проверки; </w:t>
      </w:r>
      <w:r>
        <w:rPr>
          <w:rFonts w:ascii="Times New Roman" w:hAnsi="Times New Roman"/>
          <w:color w:val="000000"/>
          <w:sz w:val="28"/>
          <w:szCs w:val="28"/>
        </w:rPr>
        <w:t xml:space="preserve">в страховых медицинских организациях - 2 плановые комплексные проверки, и 5 внеплановых проверок. В страховых медицинских организациях 3 проверки осуществлялис</w:t>
      </w:r>
      <w:r>
        <w:rPr>
          <w:rFonts w:ascii="Times New Roman" w:hAnsi="Times New Roman"/>
          <w:color w:val="000000"/>
          <w:sz w:val="28"/>
          <w:szCs w:val="28"/>
        </w:rPr>
        <w:t xml:space="preserve">ь в связи с обращением страховой медицинской организации в территориальный фонд с заявкой на предоставление недостающих средств для оплаты медицинской помощи в рамках территориальной программы обязательного медицинского страхования, 2 проверки по вопросам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bidi="en-US"/>
        </w:rPr>
        <w:t xml:space="preserve">порядка выдачи полисов ОМС и внесения в региональный сегмент единого регистра застрахованных записей, содержащих недостоверные сведения.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709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Остаток невосстановленных средств ОМС по состоянию на 01.01.2025 года составил 4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376,7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проверок 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2025 год </w:t>
      </w:r>
      <w:r>
        <w:rPr>
          <w:rFonts w:ascii="Times New Roman" w:hAnsi="Times New Roman" w:cs="Times New Roman"/>
          <w:sz w:val="28"/>
          <w:szCs w:val="28"/>
        </w:rPr>
        <w:t xml:space="preserve">в медицинских организациях выявлено нецелевое использование средств обязательного медицинского страхования на сумму 11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066,9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bCs/>
          <w:sz w:val="28"/>
          <w:szCs w:val="28"/>
        </w:rPr>
        <w:t xml:space="preserve">строка 2.6.1 «Оплата расходов, не включенных в структуру тарифа на оплату медицинской помощи в рамках территориальной программы ОМС»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- 8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bCs/>
          <w:sz w:val="28"/>
          <w:szCs w:val="28"/>
        </w:rPr>
        <w:t xml:space="preserve">115,1 тыс.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руб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или 73,3 % от выявленной суммы нецелевого использования средств ОМС: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156,4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 </w:t>
      </w:r>
      <w:r>
        <w:rPr>
          <w:rFonts w:ascii="Times New Roman" w:hAnsi="Times New Roman" w:cs="Times New Roman"/>
          <w:sz w:val="28"/>
          <w:szCs w:val="28"/>
        </w:rPr>
        <w:t xml:space="preserve">- обучение по темам, не связанным с оказанием медицинской помощи в рамках территориальной программы ОМС;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302,6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приобретение оборудования </w:t>
      </w:r>
      <w:r>
        <w:rPr>
          <w:rFonts w:ascii="Times New Roman" w:hAnsi="Times New Roman" w:cs="Times New Roman"/>
          <w:sz w:val="28"/>
          <w:szCs w:val="28"/>
        </w:rPr>
        <w:t xml:space="preserve">стоимостью свыше 100,0 тыс. рублей за единицу </w:t>
      </w:r>
      <w:r>
        <w:rPr>
          <w:rFonts w:ascii="Times New Roman" w:hAnsi="Times New Roman" w:cs="Times New Roman"/>
          <w:sz w:val="28"/>
          <w:szCs w:val="28"/>
        </w:rPr>
        <w:t xml:space="preserve">в 2023 </w:t>
      </w:r>
      <w:r>
        <w:rPr>
          <w:rFonts w:ascii="Times New Roman" w:hAnsi="Times New Roman" w:cs="Times New Roman"/>
          <w:sz w:val="28"/>
          <w:szCs w:val="28"/>
        </w:rPr>
        <w:t xml:space="preserve">году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40,7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оплата медицинских осмотров при приеме на работу;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15,9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страхование гражданской ответственности опасных объектов;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126,1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оплата труда специалиста по социальной работе;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50,8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доплаты за лечение ВИЧ инфицированных граждан;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78,4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оплата пени за несвоевременное перечисление страховых взносов и налогов, исполнение гражданско- правовых обязательств;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97,3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оплата услуг, не связанных с оказанием медицинской помощи;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512,5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 </w:t>
      </w:r>
      <w:r>
        <w:rPr>
          <w:rFonts w:ascii="Times New Roman" w:hAnsi="Times New Roman" w:cs="Times New Roman"/>
          <w:sz w:val="28"/>
          <w:szCs w:val="28"/>
        </w:rPr>
        <w:t xml:space="preserve">- проведение исследований в медицинской организации другого региона, не включенной в перечень медицинских организаций, участвующих в реализации Программы;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50,0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спил деревьев;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13,0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расходы на погребение;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53,6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 - </w:t>
      </w:r>
      <w:r>
        <w:rPr>
          <w:rFonts w:ascii="Times New Roman" w:hAnsi="Times New Roman" w:cs="Times New Roman"/>
          <w:sz w:val="28"/>
          <w:szCs w:val="28"/>
        </w:rPr>
        <w:t xml:space="preserve">возмещение нецелевого использования средств ОМС;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76,2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– за участие в мероприятиях по гражданской обороне;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126,8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работы капитального характера;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5,0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– за участие в заседании Арбитражного суда;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240,5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–приобретение катетеров и протезов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не предусмотренных стандартами;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59,3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– приобретение кухонной мебели.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bCs/>
          <w:sz w:val="28"/>
          <w:szCs w:val="28"/>
        </w:rPr>
        <w:t xml:space="preserve"> строка 2.6.2 «Финансирование структурных подразделений медицинских организаций, финансируемых из иных источников» - 249,2 тыс.</w:t>
      </w:r>
      <w:r>
        <w:rPr>
          <w:rFonts w:ascii="Times New Roman" w:hAnsi="Times New Roman" w:cs="Times New Roman"/>
          <w:bCs/>
          <w:sz w:val="28"/>
          <w:szCs w:val="28"/>
        </w:rPr>
        <w:t xml:space="preserve"> 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руб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, или 2,3% от выявленной суммы нецелевого использования средств ОМС: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214,2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- оплата труда специалиста режимно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секретного кабинета;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35,0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– перечисление денежных средств на счет приносящей доход деятельности;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строка 2.6.3 «Расходование средств обязательного медицинского страхования сверх норм, установленных соответствующими нормативными правовыми и правовыми актами» - 272,0 тыс.</w:t>
      </w:r>
      <w:r>
        <w:rPr>
          <w:rFonts w:ascii="Times New Roman" w:hAnsi="Times New Roman" w:cs="Times New Roman"/>
          <w:bCs/>
          <w:sz w:val="28"/>
          <w:szCs w:val="28"/>
        </w:rPr>
        <w:t xml:space="preserve"> 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руб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или 2,4 % от выявленной суммы нецелевого использования средств ОМС: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- 272,0 тыс. рублей - выплаты заработной платы с учетом начислений, произведенные с превышением установленных норм;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bCs/>
          <w:sz w:val="28"/>
          <w:szCs w:val="28"/>
        </w:rPr>
        <w:t xml:space="preserve"> строка2.6.4 «Расходование средств обязательного медицинского страхования при отсутствии подтверждающих документов» - 2</w:t>
      </w:r>
      <w:r>
        <w:rPr>
          <w:rFonts w:ascii="Times New Roman" w:hAnsi="Times New Roman" w:cs="Times New Roman"/>
          <w:bCs/>
          <w:sz w:val="28"/>
          <w:szCs w:val="28"/>
        </w:rPr>
        <w:t xml:space="preserve"> </w:t>
      </w:r>
      <w:r>
        <w:rPr>
          <w:rFonts w:ascii="Times New Roman" w:hAnsi="Times New Roman" w:cs="Times New Roman"/>
          <w:bCs/>
          <w:sz w:val="28"/>
          <w:szCs w:val="28"/>
        </w:rPr>
        <w:t xml:space="preserve">213,4 тыс.</w:t>
      </w:r>
      <w:r>
        <w:rPr>
          <w:rFonts w:ascii="Times New Roman" w:hAnsi="Times New Roman" w:cs="Times New Roman"/>
          <w:bCs/>
          <w:sz w:val="28"/>
          <w:szCs w:val="28"/>
        </w:rPr>
        <w:t xml:space="preserve"> 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руб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или 20% от выявленной суммы нецелевого использования средств ОМС: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- 2 032,6 тыс. рублей - выплата заработной платы с учетом начислений, при отсутствии сертификата (аккредитации) специалиста;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- 167,2 тыс. рублей - компенсация за молоко, не подтвержденная результатами специальной оценки;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- 13,6 тыс. рублей – оплата услуг, не предусмотренных договором.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bCs/>
          <w:sz w:val="28"/>
          <w:szCs w:val="28"/>
        </w:rPr>
        <w:t xml:space="preserve">строка 2.6.6 «Использование средств нормированного страхового запаса территориального фонда в нарушение условий их получения» - 217,2 тыс.</w:t>
      </w:r>
      <w:r>
        <w:rPr>
          <w:rFonts w:ascii="Times New Roman" w:hAnsi="Times New Roman" w:cs="Times New Roman"/>
          <w:bCs/>
          <w:sz w:val="28"/>
          <w:szCs w:val="28"/>
        </w:rPr>
        <w:t xml:space="preserve"> 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руб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или 2% от выявленной суммы нецелевого использования средств ОМС: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- 217,2 тыс. рублей - софинансирование расходов на оплату труда врачей и среднего медицинского персонала (излишне начислена заработная плата - 57,7 тыс. рублей, необоснованные выплаты, без увеличения штатной численности - 159,5 тыс. рублей).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lang w:eastAsia="zh-CN"/>
        </w:rPr>
        <w:t xml:space="preserve">Возвращено в бюджет ТФОМС Липецкой области в </w:t>
      </w:r>
      <w:r>
        <w:rPr>
          <w:rFonts w:ascii="Times New Roman" w:hAnsi="Times New Roman"/>
          <w:sz w:val="28"/>
          <w:szCs w:val="28"/>
        </w:rPr>
        <w:t xml:space="preserve">соответствии с требованиями Федерального закона от 29.11.2010 № 326-ФЗ «Об обязательном медицинском страховании в Российской Федерации» - 7 380,5 тыс. рублей.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Остаток не восстановленных средств по состоянию на 31.12.2025 составил 8 063,1 тыс. рублей.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Остаток задолженности по штрафам, пеням по состоянию на 01.01.2025 составлял 691,7 тыс. рублей.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Сумма предъявленных штрафов, пеней за нецелевое использование средств ОМС по результатам проверок деятельности медицинских организаций в сфере обязательного медицинского страхования за 2025 год составила 2 031,6 тыс. рублей, в том числе:</w:t>
      </w:r>
      <w:r/>
    </w:p>
    <w:p>
      <w:pPr>
        <w:jc w:val="both"/>
        <w:spacing w:after="0" w:line="240" w:lineRule="auto"/>
        <w:tabs>
          <w:tab w:val="left" w:pos="992" w:leader="none"/>
        </w:tabs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штрафы за нецелевое использование средств ОМС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345,7 тыс.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/>
    </w:p>
    <w:p>
      <w:pPr>
        <w:jc w:val="both"/>
        <w:spacing w:after="0" w:line="240" w:lineRule="auto"/>
        <w:tabs>
          <w:tab w:val="left" w:pos="992" w:leader="none"/>
        </w:tabs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пени от суммы нецелевого использования средств ОМС за каждый день просрочки - 685,9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Сумма средств от применения штрафов, пеней по результатам проверок медицинских организаций в отчетном периоде перечислена на счет ТФОМС Липецкой области в размере - 731,9 тыс. рублей.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Остаток задолженности по штрафам, пеням за нецелевое использование средств ОМС по результатам проверок отчетного периода по состоянию на 31.12.2025 составил 1 991,4 тыс. рублей: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 сумма штрафов за нецелевое использование средств – 1 387,9 тыс. 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 сумма пени - 603,5 тыс. рублей.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Остаток задолженности по штрафам, пеням за нарушение договорных обязательств по договору о финансовом обеспечении обязательного медицинского страхования по результатам проверок страховых медицинских организаций по состоянию на 01.01.2025 отсутствовал.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Предъявлено штрафов за нарушение договорных обязательств за 2025 год на сумму - 678,5 тыс. рублей;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Получено за 2025 год штрафов за нарушение договорных обязательств в размере 18,0 тыс. рублей.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состоянию на 31.12.2025 по результатам проверок страховых медицинских организаций остаток не оплаченных  штрафов за нарушение договорных обязательств составил 660,5 тыс. рублей.</w:t>
      </w:r>
      <w:r/>
    </w:p>
    <w:p>
      <w:pPr>
        <w:pStyle w:val="776"/>
        <w:ind w:firstLine="709"/>
        <w:jc w:val="both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 xml:space="preserve">Отсутствие должного внутреннего контроля объемов, сроков, качества и условий предоставления медицинской помощи способствует образованию финансовых потерь в медицинских организациях.</w:t>
      </w:r>
      <w:r/>
    </w:p>
    <w:p>
      <w:pPr>
        <w:pStyle w:val="776"/>
        <w:ind w:firstLine="709"/>
        <w:jc w:val="both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 xml:space="preserve">По результатам проведенных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2025 году проверок медицинских организаций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финансовые потери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частичной или полной неоплаты медицинской помощи составили 131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315,9 тыс.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уб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8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ходе контрольных мероприятий за 2025 год были установлены нарушения, приведшие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неэффективному использованию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 ОМС на сумму 26 104,6 тыс. рублей: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8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– 25 989,1 тыс. рублей;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8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утилизированные лекарственные средства и химические препараты с истекшим сроком годности - 115,5 тыс. 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6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целью исключения случаев неэффективного использования денежных средств ОМС административно-управленческому персоналу медицинских организаций необходимо: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усилить внутренний контроль объемов, сроков, качества и условий предоставления медицинской помощи в целях недопущения штрафных санкций по предписаниям страховых медицинских организаций;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 осуществлять в постоянном реж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име контроль учета медикаментов, химических реактивов и расходных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Выявленные при проверках нарушения приводят к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pacing w:line="282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Исключени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 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приводит к снижению кредиторской задолженности.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776"/>
        <w:ind w:firstLine="709"/>
        <w:jc w:val="both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Руководителям медицинских организаций необходимо принять меры по усилению финансовой дис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циплины. Недопустимость нецелевого расходования средств ОМС медицинскими организациями следует признать одним из основополагающих принципов деятельности указанных субъектов, соблюдение которого частично гарантирует достижение поставленных перед ними задач.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firstLine="539"/>
        <w:jc w:val="both"/>
        <w:spacing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Приказом Минфина России от 26.09.2024 № 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установлены 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ероприятия по недопущению образования 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осроченной дебиторской задолженности по доходам, в том числе урегулирование дебиторской задолженности в досудебном порядке (со дня истечения срока уплаты соответствующего платежа в бюджет (пеней, штрафов) до начала работы по их принудительному взысканию, 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также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 Федерации</w:t>
      </w:r>
      <w: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39"/>
        <w:jc w:val="both"/>
        <w:spacing w:after="0" w:line="57" w:lineRule="atLeast"/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 2025 году в рамках осуществления контрольно-ревизионной деятельности в пользу ТФОМС Липецкой области приняты следующие судебные акты:</w:t>
      </w:r>
      <w:r/>
    </w:p>
    <w:p>
      <w:pPr>
        <w:ind w:firstLine="539"/>
        <w:jc w:val="both"/>
        <w:spacing w:after="0" w:line="57" w:lineRule="atLeast"/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- решением Арбитражного суда Липецкой области отказано в удовлетворении заявления ГУЗ «Центр скорой медицинской помощи и медицины катаст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роф Липецкой области» по вопросу приобретения оборудования стоимостью свыше 100,0 тыс. рублей за единицу (2023 год) – 1 302,6 тыс. рублей, расходов на компенсационные выплаты за молоко, не предусмотренные результатами специальной оценки - 167,2 тыс. рублей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;</w:t>
      </w:r>
      <w:r/>
    </w:p>
    <w:p>
      <w:pPr>
        <w:ind w:firstLine="539"/>
        <w:jc w:val="both"/>
        <w:spacing w:after="0" w:line="57" w:lineRule="atLeast"/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- решением Арбитражного суда Липецкой области отказано в удовлетворении заявления ООО «МЕДИЦИНСКИЙ ЦЕНТР «ЖИЗНЬ» в размере 947,1 тыс.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руб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лей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по вопросу проведения исследований в медицинской организации другого региона, не включенной в перечень медицинских организаций, участ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вующих в реализации Программы государственных гарантий бесплатного оказания гражданам медицинской помощи на территории Липецкой области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</w:t>
      </w:r>
      <w:r/>
    </w:p>
    <w:p>
      <w:pPr>
        <w:ind w:firstLine="539"/>
        <w:jc w:val="both"/>
        <w:spacing w:after="0" w:line="57" w:lineRule="atLeast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- 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ешением Арбитражного суда Липецкой области отказано в удовлетворении заявления ГУЗ «Областная детская больница» по вопросу выплаты заработной платы при отсутствии сертификата (аккредитации) специалиста в размере 1 458,1 тыс.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руб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лей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, страхование гражданской ответственности опасных объектов - 74,0 тыс.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руб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лей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.</w:t>
      </w:r>
      <w:r/>
    </w:p>
    <w:p>
      <w:pPr>
        <w:ind w:firstLine="539"/>
        <w:jc w:val="both"/>
        <w:spacing w:after="0" w:line="56" w:lineRule="atLeast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 состоянию на 01.01.2025 просроченная кредиторская задолженность государственных медицинских организаций перед поставщиками за поставленные материальные ценности и оказанные услуги составляла 3,8 млн. рублей. По результатам 12 месяцев 2025 года - на 01.01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.2026г. сумма данного показателя снизилась до нулевого значения. Это свидетельствует о том, что денежные обязательства, в части просроченной кредиторской задолженности перед поставщиками за поставленные материальные ценности и оказанные услуги, государстве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нными медицинскими организациями на конец 2025 года были погашены в полном объеме.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776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мках контроля объемов, сроков, качества и условий оказания медицинской помощи, оказанной медицинскими организациями Липецкой области, специалистами СМО в отчетном периоде проводились экспертные мероприятия в соответствии с действующими нормативными актами.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январь-декабрь 2025 года ТФОМС и СМО было рассмотрено 86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410 обращений. В сравнении с 2024 год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ом,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количество обращений уменьшилось на 61.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Всего обращений за разъяснениями, в том числе заявлений, 86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111, наибольшее количество по вопросам выбора и/или замены СМО, включени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единый регистр застрахованных, обеспечение выдачи полисов, о переоформлении полиса ОМС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65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933 или 77% от общего количества. За отчетный период в СМО поступило 14 благодарностей от застрахованных лиц.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период январь-декабрь 2025 года поступило 285 жалоб или 0,3% от общего числа обращений; в 2024 году данный показатель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составлял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213 (0,2%).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Все жалобы рассмотрены в досудебном порядке, в установленные законом сроки, обоснованными признано 216 (76%), за аналогичный период 2024 года 124 жалобы (70%) были признаны обоснованными.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Структура обоснованных жалоб по причинам сложилась следующим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разом: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72 жалоб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(33%) на качество медицинской помощи;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16 жалоб (7%) на организацию работы медицинской организации;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114 жалоб (53%) на недостоверные сведения об оказанных медицинских услугах;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 жалобы (1%) на проведение профилактических мероприятий;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 жалоб (4%) на отказ в оказании медицинской помощи по программе ОМС;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 жалоба (1%) на приобретение пациентом лекарственных препаратов, медицинских изделий, расходных материалов при получении медицинской помощи в д/с, к/с;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 жалобы (1%) - другие причины.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мках контроля объемов, сроков, качества и условий оказания медицинской помощи, оказанной медицинскими организациями Липецкой области, специалистами СМО в отчетном периоде проводились экспертные мероприятия в соответствии с действующими нормативными актами.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период январь-декабрь 2025 года подвергнуто экспертизам 128,4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страховых случаев медицинской помощи, оказанных гражданам, застрахованным на территории Липецкой области, в том числе в ходе плановых проверок 46,5 тыс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проведении медико-экономических экспертиз (МЭЭ) за январь-декабрь 2025 года было проанализировано 98,9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случаев оказания медицинской помощи, в том числе при целевых проверках 61,4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случаев.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результате МЭЭ было установлено 26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631 нарушение (27%), отмечается незначительное увеличение количества дефектов в сравнении с аналогичным периодом 2024 года, когда данный показатель составлял 26% (в 2023 - 17%).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нарушений по причине «непредставление первичной медицинской документации, подтверждающей факт оказания ЗЛ медицинской помощи», составило – 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995 или 30% от общего количества нарушений, по сравнению с аналогичным периодом 2024 года количество данных нарушений увеличилось в 1,8 раза.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нарушений по причине «несоответствие данных первичной медицинской документации данным реестра счетов», составило – 16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094 или 60% от общего количества нарушений, что в 1,3 раза больше, чем в аналогичном периоде 2024 года.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нарушений по причине «отсутствие в документации информированного добровольного согласия застрахованного лица на медицинское вмешательство», составило –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062 или 4% от общего количества нарушений, что почти в 5 раз меньше, чем в аналогичном периоде 2024 года.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экспертиз качества медицинской помощи (ЭКМП) было проанализировано 29,4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случаев оказания медицинской помощи, в том числе при целевых проверках – 20,5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результате ЭКМП было установлено 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566 нарушений (29%), за аналог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ичный период 2024 года данный показатель составлял 39%.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Наибольшее количество нарушений – «невыполнение, несвоевременное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или ненадлежащее выполнение необходимых пациенту диагностических и (или) лечебных мероприятий, оперативных вмешательств в соответствии с порядками оказания медицинской помощи, на основе клинических рекомендаций и с учетом стандартов медицинской помощи» - 3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594 или 42% от общего количества нарушений, в том числе при проведении диспансеризации определенных групп взрослого населения –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209 (34%).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проведении ЭКМП установлены нарушения из раздела 2 Перечня оснований для отказа в оплате медицинской помощи (уменьшения в оплате меди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инской помощи), количество их составило –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580 или 30% от общего количества нарушений, в том числе: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«несоответствие данных первичной медицинской документации данным реестра счетов», составило –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352 или 52% от количества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«отсутствие в документации информированного добровольного согласия застрахованного лица на медицинское вмешательство», составило – 212 или 8% от количества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«непредставление первичной 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едицинской документации, подтве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рждаю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щей факт оказания ЗЛ медицинской помощи», составило – 572 или 22% от общего количества нарушений из раздела 2.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итогам МЭЭ и ЭКМП к медицинским организациям применены финансовые санкции в размере 142,2 млн.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(2024 год – 125,1 млн.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2025 году проведено 189 554 контрольно-экспертных мероприятия по случаям оказания медицинской помощи пациентам с подозрением на злокачествен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ные новообразования (ЗНО) и/или с подтвержденным диагнозом ЗНО, в том числе 182 371 медико-экономического контроля, 6 450 медико-экономических экспертиз, 733 экспертиз качества медицинской помощи. По результатам контрольно-экспертных мероприятий выявлено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572 дефекта, в том числе 55 по страховым случаям с применением химиотерапии.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 период январь-декабрь 2025 года специалистам</w:t>
      </w:r>
      <w:r>
        <w:rPr>
          <w:sz w:val="28"/>
          <w:szCs w:val="28"/>
        </w:rPr>
        <w:t xml:space="preserve">и ТФОМС Липецкой области и экспертами качества медицинской помощи, входящими в реестр экспертов качества медицинской помощи, привлекаемыми на договорной основе, проводились повторные медико-экономические экспертизы и экспертизы качества медицинской помощи.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Количество страховых случаев, подвергшихся повторной МЭЭ, составило 1867, количество страховых случаев, подвергшихся повторной ЭКМП, составило 769, что соответствует требованиям приказа ФФОМС от 19.03.2021 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231н «Об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Установлены нарушения в 15 случаях (0,6%), допущенные медицинскими организациями, но не выявленные СМО при первичном проведении экспертиз. По итогам повторных экспертиз к СМО применены штрафные санкций в размере 9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853,9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- 10% от суммы, необоснованно оплаченной медицинским организациям.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 августа 2022 года страховыми медицинскими организациями в соответствии с требованиями приказа Минздрава России от 19.07.2022 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495 «Об утверждении методики расчета дополнительного показателя «Оценка общественного мнения по удовлетворенно</w:t>
      </w:r>
      <w:r>
        <w:rPr>
          <w:sz w:val="28"/>
          <w:szCs w:val="28"/>
        </w:rPr>
        <w:t xml:space="preserve">сти населения медицинской помощью, %» федерального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помощью. Процент удовлетворенности за 2025 год составил 61,2%.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c Методическими рекомендациями по способам оплаты медицинской помощи за счет средств обязательного медицинского страхования на 2025 год, Тарифным соглашением на оплату медицинской помощи по обязательному медицинскому страхованию на территории</w:t>
      </w:r>
      <w:r>
        <w:rPr>
          <w:sz w:val="28"/>
          <w:szCs w:val="28"/>
        </w:rPr>
        <w:t xml:space="preserve"> Липецкой области на 2025 год предусмотрены выплаты медицинским организациям, имеющим прикрепившихся лиц за выполнение показателей результативности деятельности медицинских организаций.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jc w:val="both"/>
        <w:spacing w:after="0" w:line="240" w:lineRule="auto"/>
        <w:widowControl w:val="off"/>
        <w:tabs>
          <w:tab w:val="left" w:pos="720" w:leader="none"/>
        </w:tabs>
        <w:rPr>
          <w:rFonts w:ascii="Times New Roman" w:hAnsi="Times New Roman" w:eastAsia="Times New Roman"/>
          <w:b w:val="0"/>
          <w:bCs w:val="0"/>
          <w:highlight w:val="none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В 2025 году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 связи с внесением изме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нений в требования к структуре и содержанию тарифного соглашения (приказ Минздрава РФ от 10.02.2023 № 44н)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количество оцениваемых показателей увеличилось до тридцати трех. Показатели р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аспределены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на 4 блока.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К ранее существующим блокам,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отражающим эффективность оказания медицинской помощи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взрослому населению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,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детскому населению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,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акушерско-гинекологической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медицинской помощи женщинам добавлен блок, отражающий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о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ценку качества оказания медицинской помощи.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За выполнение каждого из показателей медицинской организации начисляется определенное количество баллов (от 0,5 до 9).</w:t>
      </w:r>
      <w:r>
        <w:rPr>
          <w:rFonts w:ascii="Times New Roman" w:hAnsi="Times New Roman" w:eastAsia="Times New Roman"/>
          <w:b w:val="0"/>
          <w:bCs w:val="0"/>
          <w:highlight w:val="none"/>
        </w:rPr>
      </w:r>
      <w:r>
        <w:rPr>
          <w:rFonts w:ascii="Times New Roman" w:hAnsi="Times New Roman" w:eastAsia="Times New Roman"/>
          <w:b w:val="0"/>
          <w:bCs w:val="0"/>
          <w:highlight w:val="none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 учетом фактического выполнения показателей, медицинские организации распределяются на три группы: </w:t>
      </w:r>
      <w:r>
        <w:rPr>
          <w:sz w:val="28"/>
          <w:szCs w:val="28"/>
          <w:lang w:val="en-US" w:eastAsia="ru-RU"/>
        </w:rPr>
        <w:t xml:space="preserve">I</w:t>
      </w:r>
      <w:r>
        <w:rPr>
          <w:sz w:val="28"/>
          <w:szCs w:val="28"/>
          <w:lang w:eastAsia="ru-RU"/>
        </w:rPr>
        <w:t xml:space="preserve"> – выполнившие до 40 процентов показателей, II – от 40 (включительно) до 60 процентов показателей, </w:t>
      </w:r>
      <w:r>
        <w:rPr>
          <w:sz w:val="28"/>
          <w:szCs w:val="28"/>
          <w:lang w:val="en-US" w:eastAsia="ru-RU"/>
        </w:rPr>
        <w:t xml:space="preserve">III</w:t>
      </w:r>
      <w:r>
        <w:rPr>
          <w:sz w:val="28"/>
          <w:szCs w:val="28"/>
          <w:lang w:eastAsia="ru-RU"/>
        </w:rPr>
        <w:t xml:space="preserve"> – от 60 (включительно) процентов показателей. 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Выплаты предусмотрены только медицинским организациям II и III группы. 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Осуществление выплат производилось с учетом выполнения объемов амбулаторной медицинской помощи и с учетом оценки показателей смертности прикрепившихся лиц (выплаты в полном объеме полу</w:t>
      </w:r>
      <w:r>
        <w:rPr>
          <w:sz w:val="28"/>
          <w:szCs w:val="28"/>
          <w:lang w:eastAsia="ru-RU"/>
        </w:rPr>
        <w:t xml:space="preserve">чили медицинские организации, выполнившие 90% и более от плановых объемов амбулаторной медицинской помощи, в которых отмечено снижение показателей смертности прикрепившихся лиц).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Общая сумма выплат за 2025 год составила 81,3 млн. рублей. Размер выплат по </w:t>
      </w:r>
      <w:r>
        <w:rPr>
          <w:sz w:val="28"/>
          <w:szCs w:val="28"/>
          <w:lang w:eastAsia="ru-RU"/>
        </w:rPr>
        <w:t xml:space="preserve">медицинским организациям составил от 364 тыс. рублей до 8,4 млн. рублей. Выплаты были направлены во все медицинские организации при оплате счетов за ноябрь 2025 года. 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highlight w:val="none"/>
          <w:lang w:eastAsia="ru-RU"/>
        </w:rPr>
      </w:pPr>
      <w:r>
        <w:rPr>
          <w:sz w:val="28"/>
          <w:szCs w:val="28"/>
          <w:highlight w:val="none"/>
          <w:lang w:eastAsia="ru-RU"/>
        </w:rPr>
        <w:t xml:space="preserve">Информация об общей сумме выплат за выполнение показателей результативности в 2025 году в разрезе медицинских организаций представлена в таблице</w:t>
      </w:r>
      <w:r>
        <w:rPr>
          <w:sz w:val="28"/>
          <w:szCs w:val="28"/>
          <w:highlight w:val="none"/>
          <w:lang w:eastAsia="ru-RU"/>
        </w:rPr>
        <w:t xml:space="preserve">.</w:t>
      </w:r>
      <w:r>
        <w:rPr>
          <w:sz w:val="28"/>
          <w:szCs w:val="28"/>
          <w:highlight w:val="none"/>
          <w:lang w:eastAsia="ru-RU"/>
        </w:rPr>
      </w:r>
      <w:r>
        <w:rPr>
          <w:sz w:val="28"/>
          <w:szCs w:val="28"/>
          <w:highlight w:val="none"/>
          <w:lang w:eastAsia="ru-RU"/>
        </w:rPr>
      </w:r>
    </w:p>
    <w:tbl>
      <w:tblPr>
        <w:tblStyle w:val="930"/>
        <w:tblW w:w="0" w:type="auto"/>
        <w:tblLayout w:type="fixed"/>
        <w:tblLook w:val="04A0" w:firstRow="1" w:lastRow="0" w:firstColumn="1" w:lastColumn="0" w:noHBand="0" w:noVBand="1"/>
      </w:tblPr>
      <w:tblGrid>
        <w:gridCol w:w="8082"/>
        <w:gridCol w:w="1555"/>
      </w:tblGrid>
      <w:tr>
        <w:tblPrEx/>
        <w:trPr>
          <w:trHeight w:val="738"/>
        </w:trPr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Наименование МО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jc w:val="center"/>
              <w:spacing w:before="11" w:beforeAutospacing="0" w:after="0" w:afterAutospacing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Сумма выплат,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  <w:p>
            <w:pPr>
              <w:jc w:val="center"/>
              <w:spacing w:before="11" w:beforeAutospacing="0" w:after="0" w:afterAutospacing="0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млн. рублей.</w:t>
            </w:r>
            <w:r>
              <w:rPr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«ЛИПЕЦКАЯ ГОРОДСКАЯ БОЛЬНИЦА № 4 «ЛИПЕЦК-МЕД»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4,1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«ЛИПЕЦКАЯ ГОРБОЛЬНИЦА № 3 СВОБОДНЫЙ СОКОЛ»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3,7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«ЛИПЕЦКАЯ ГОРОДСКАЯ ПОЛИКЛИНИКА № 4»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8,4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«ЛИПЕЦКАЯ ГОРОДСКАЯ ПОЛИКЛИНИКА № 1»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6,8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«ЛИПЕЦКАЯ ГОРОДСКАЯ ДЕТСКАЯ БОЛЬНИЦА»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4,8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ФКУЗ «МСЧ МВД РОССИИ ПО ЛИПЕЦКОЙ ОБЛАСТИ»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0,4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«ЛОКЦ»          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1,9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 ЛИПЕЦКАЯ ГБСМП №1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3,7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АССОЦИАЦИЯ «НОВОЛИПЕЦКИЙ МЕДИЦИНСКИЙ ЦЕНТР»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0,9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«ЕЛЕЦКАЯ ГОРОДСКАЯ ДЕТСКАЯ БОЛЬНИЦА»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1,7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«ЕЛЕЦКАЯ ГОРОДСКАЯ КЛИНИЧЕСКАЯ БОЛЬНИЦА  ИМ. Н.А. СЕМАШКО»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4,9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ЧУЗ «РЖД - МЕДИЦИНА Г.ЕЛЕЦ»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1,7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«ГРЯЗИНСКАЯ ЦРБ»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5,7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«ДАНКОВСКАЯ ЦРБ»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4,5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«ДОБРИНСКАЯ ЦРБ»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2,4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«ДОБРОВСКАЯ РБ» 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1,1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«ДОЛГОРУКОВСКАЯ РБ»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1,9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«ЕЛЕЦКАЯ РБ»    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2,6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«ЗАДОНСКАЯ ЦРБ» 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2,4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«ИЗМАЛКОВСКАЯ РБ»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1,7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«ЛЕБЕДЯНСКАЯ ЦРБ»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2,4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«ЛИПЕЦКАЯ РБ»   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4,8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«СТАНОВЛЯНСКАЯ РБ»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0,7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«ТЕРБУНСКАЯ ЦРБ»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2,4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«УСМАНСКАЯ ЦРБ» 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3,3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ГУЗ «ХЛЕВЕНСКАЯ РБ»                                                                        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 w:val="0"/>
                <w:bCs w:val="0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2,4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82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left"/>
              <w:spacing w:before="6" w:beforeAutospacing="0" w:after="164" w:afterAutospacing="0"/>
              <w:rPr>
                <w:b/>
                <w:bCs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ВСЕГО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5" w:type="dxa"/>
            <w:vAlign w:val="center"/>
            <w:textDirection w:val="lrTb"/>
            <w:noWrap w:val="false"/>
          </w:tcPr>
          <w:p>
            <w:pPr>
              <w:contextualSpacing/>
              <w:ind w:left="113" w:right="57"/>
              <w:jc w:val="center"/>
              <w:spacing w:before="6" w:beforeAutospacing="0" w:after="164" w:afterAutospacing="0"/>
              <w:rPr>
                <w:b/>
                <w:bCs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81,3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>
      <w:pPr>
        <w:pStyle w:val="746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ru-RU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709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Courier New">
    <w:panose1 w:val="02070309020205020404"/>
  </w:font>
  <w:font w:name="Lohit Devanagari">
    <w:panose1 w:val="02000603000000000000"/>
  </w:font>
  <w:font w:name="Open Sans">
    <w:panose1 w:val="020B0606030504020204"/>
  </w:font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83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03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23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643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63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83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03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23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243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13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733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453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173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893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613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333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053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9" w:default="1">
    <w:name w:val="Normal"/>
    <w:qFormat/>
    <w:pPr>
      <w:spacing w:after="200" w:line="276" w:lineRule="auto"/>
    </w:pPr>
  </w:style>
  <w:style w:type="paragraph" w:styleId="670">
    <w:name w:val="Heading 1"/>
    <w:basedOn w:val="669"/>
    <w:next w:val="669"/>
    <w:link w:val="718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1">
    <w:name w:val="Heading 2"/>
    <w:basedOn w:val="669"/>
    <w:next w:val="669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72">
    <w:name w:val="Heading 3"/>
    <w:basedOn w:val="669"/>
    <w:next w:val="669"/>
    <w:link w:val="720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3">
    <w:name w:val="Heading 4"/>
    <w:basedOn w:val="669"/>
    <w:next w:val="669"/>
    <w:link w:val="721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669"/>
    <w:next w:val="669"/>
    <w:link w:val="722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5">
    <w:name w:val="Heading 6"/>
    <w:basedOn w:val="669"/>
    <w:next w:val="669"/>
    <w:link w:val="72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6">
    <w:name w:val="Heading 7"/>
    <w:basedOn w:val="669"/>
    <w:next w:val="669"/>
    <w:link w:val="72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7">
    <w:name w:val="Heading 8"/>
    <w:basedOn w:val="669"/>
    <w:next w:val="669"/>
    <w:link w:val="72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8">
    <w:name w:val="Heading 9"/>
    <w:basedOn w:val="669"/>
    <w:next w:val="669"/>
    <w:link w:val="72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table" w:styleId="682">
    <w:name w:val="Plain Table 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3">
    <w:name w:val="Plain Table 2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4">
    <w:name w:val="Plain Table 3"/>
    <w:basedOn w:val="680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5">
    <w:name w:val="Plain Table 4"/>
    <w:basedOn w:val="680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Plain Table 5"/>
    <w:basedOn w:val="680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7">
    <w:name w:val="Grid Table 1 Light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2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4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1">
    <w:name w:val="Grid Table 5 Dark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92">
    <w:name w:val="Grid Table 6 Colorful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693">
    <w:name w:val="Grid Table 7 Colorful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694">
    <w:name w:val="List Table 1 Light"/>
    <w:basedOn w:val="68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List Table 2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696">
    <w:name w:val="List Table 3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List Table 4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List Table 5 Dark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699">
    <w:name w:val="List Table 6 Colorful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00">
    <w:name w:val="List Table 7 Colorful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01" w:customStyle="1">
    <w:name w:val="Caption Char"/>
    <w:basedOn w:val="679"/>
    <w:uiPriority w:val="35"/>
    <w:qFormat/>
    <w:rPr>
      <w:b/>
      <w:bCs/>
      <w:color w:val="4f81bd" w:themeColor="accent1"/>
      <w:sz w:val="18"/>
      <w:szCs w:val="18"/>
    </w:rPr>
  </w:style>
  <w:style w:type="character" w:styleId="702" w:customStyle="1">
    <w:name w:val="Heading 1 Char"/>
    <w:basedOn w:val="679"/>
    <w:uiPriority w:val="9"/>
    <w:qFormat/>
    <w:rPr>
      <w:rFonts w:ascii="Arial" w:hAnsi="Arial" w:eastAsia="Arial" w:cs="Arial"/>
      <w:sz w:val="40"/>
      <w:szCs w:val="40"/>
    </w:rPr>
  </w:style>
  <w:style w:type="character" w:styleId="703" w:customStyle="1">
    <w:name w:val="Heading 3 Char"/>
    <w:basedOn w:val="679"/>
    <w:uiPriority w:val="9"/>
    <w:qFormat/>
    <w:rPr>
      <w:rFonts w:ascii="Arial" w:hAnsi="Arial" w:eastAsia="Arial" w:cs="Arial"/>
      <w:sz w:val="30"/>
      <w:szCs w:val="30"/>
    </w:rPr>
  </w:style>
  <w:style w:type="character" w:styleId="704" w:customStyle="1">
    <w:name w:val="Heading 4 Char"/>
    <w:basedOn w:val="67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05" w:customStyle="1">
    <w:name w:val="Heading 5 Char"/>
    <w:basedOn w:val="67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06" w:customStyle="1">
    <w:name w:val="Heading 6 Char"/>
    <w:basedOn w:val="67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07" w:customStyle="1">
    <w:name w:val="Heading 7 Char"/>
    <w:basedOn w:val="67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08" w:customStyle="1">
    <w:name w:val="Heading 8 Char"/>
    <w:basedOn w:val="67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09" w:customStyle="1">
    <w:name w:val="Heading 9 Char"/>
    <w:basedOn w:val="67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10" w:customStyle="1">
    <w:name w:val="Title Char"/>
    <w:basedOn w:val="679"/>
    <w:uiPriority w:val="10"/>
    <w:qFormat/>
    <w:rPr>
      <w:sz w:val="48"/>
      <w:szCs w:val="48"/>
    </w:rPr>
  </w:style>
  <w:style w:type="character" w:styleId="711" w:customStyle="1">
    <w:name w:val="Subtitle Char"/>
    <w:basedOn w:val="679"/>
    <w:uiPriority w:val="11"/>
    <w:qFormat/>
    <w:rPr>
      <w:sz w:val="24"/>
      <w:szCs w:val="24"/>
    </w:rPr>
  </w:style>
  <w:style w:type="character" w:styleId="712" w:customStyle="1">
    <w:name w:val="Quote Char"/>
    <w:uiPriority w:val="29"/>
    <w:qFormat/>
    <w:rPr>
      <w:i/>
    </w:rPr>
  </w:style>
  <w:style w:type="character" w:styleId="713" w:customStyle="1">
    <w:name w:val="Intense Quote Char"/>
    <w:uiPriority w:val="30"/>
    <w:qFormat/>
    <w:rPr>
      <w:i/>
    </w:rPr>
  </w:style>
  <w:style w:type="character" w:styleId="714" w:customStyle="1">
    <w:name w:val="Header Char"/>
    <w:basedOn w:val="679"/>
    <w:uiPriority w:val="99"/>
    <w:qFormat/>
  </w:style>
  <w:style w:type="character" w:styleId="715" w:customStyle="1">
    <w:name w:val="Название объекта Знак"/>
    <w:link w:val="748"/>
    <w:uiPriority w:val="99"/>
    <w:qFormat/>
  </w:style>
  <w:style w:type="character" w:styleId="716" w:customStyle="1">
    <w:name w:val="Footnote Text Char"/>
    <w:uiPriority w:val="99"/>
    <w:qFormat/>
    <w:rPr>
      <w:sz w:val="18"/>
    </w:rPr>
  </w:style>
  <w:style w:type="character" w:styleId="717" w:customStyle="1">
    <w:name w:val="Endnote Text Char"/>
    <w:uiPriority w:val="99"/>
    <w:qFormat/>
    <w:rPr>
      <w:sz w:val="20"/>
    </w:rPr>
  </w:style>
  <w:style w:type="character" w:styleId="718" w:customStyle="1">
    <w:name w:val="Заголовок 1 Знак"/>
    <w:basedOn w:val="679"/>
    <w:link w:val="670"/>
    <w:uiPriority w:val="9"/>
    <w:qFormat/>
    <w:rPr>
      <w:rFonts w:ascii="Arial" w:hAnsi="Arial" w:eastAsia="Arial" w:cs="Arial"/>
      <w:sz w:val="40"/>
      <w:szCs w:val="40"/>
    </w:rPr>
  </w:style>
  <w:style w:type="character" w:styleId="719" w:customStyle="1">
    <w:name w:val="Heading 2 Char"/>
    <w:basedOn w:val="679"/>
    <w:uiPriority w:val="9"/>
    <w:qFormat/>
    <w:rPr>
      <w:rFonts w:ascii="Arial" w:hAnsi="Arial" w:eastAsia="Arial" w:cs="Arial"/>
      <w:sz w:val="34"/>
    </w:rPr>
  </w:style>
  <w:style w:type="character" w:styleId="720" w:customStyle="1">
    <w:name w:val="Заголовок 3 Знак"/>
    <w:basedOn w:val="679"/>
    <w:link w:val="672"/>
    <w:uiPriority w:val="9"/>
    <w:qFormat/>
    <w:rPr>
      <w:rFonts w:ascii="Arial" w:hAnsi="Arial" w:eastAsia="Arial" w:cs="Arial"/>
      <w:sz w:val="30"/>
      <w:szCs w:val="30"/>
    </w:rPr>
  </w:style>
  <w:style w:type="character" w:styleId="721" w:customStyle="1">
    <w:name w:val="Заголовок 4 Знак"/>
    <w:basedOn w:val="679"/>
    <w:link w:val="67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22" w:customStyle="1">
    <w:name w:val="Заголовок 5 Знак"/>
    <w:basedOn w:val="679"/>
    <w:link w:val="67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23" w:customStyle="1">
    <w:name w:val="Заголовок 6 Знак"/>
    <w:basedOn w:val="679"/>
    <w:link w:val="67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4" w:customStyle="1">
    <w:name w:val="Заголовок 7 Знак"/>
    <w:basedOn w:val="679"/>
    <w:link w:val="67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5" w:customStyle="1">
    <w:name w:val="Заголовок 8 Знак"/>
    <w:basedOn w:val="679"/>
    <w:link w:val="67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6" w:customStyle="1">
    <w:name w:val="Заголовок 9 Знак"/>
    <w:basedOn w:val="679"/>
    <w:link w:val="67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7" w:customStyle="1">
    <w:name w:val="Заголовок Знак"/>
    <w:basedOn w:val="679"/>
    <w:link w:val="751"/>
    <w:uiPriority w:val="10"/>
    <w:qFormat/>
    <w:rPr>
      <w:sz w:val="48"/>
      <w:szCs w:val="48"/>
    </w:rPr>
  </w:style>
  <w:style w:type="character" w:styleId="728" w:customStyle="1">
    <w:name w:val="Подзаголовок Знак"/>
    <w:basedOn w:val="679"/>
    <w:link w:val="752"/>
    <w:uiPriority w:val="11"/>
    <w:qFormat/>
    <w:rPr>
      <w:sz w:val="24"/>
      <w:szCs w:val="24"/>
    </w:rPr>
  </w:style>
  <w:style w:type="character" w:styleId="729" w:customStyle="1">
    <w:name w:val="Цитата 2 Знак"/>
    <w:link w:val="753"/>
    <w:uiPriority w:val="29"/>
    <w:qFormat/>
    <w:rPr>
      <w:i/>
    </w:rPr>
  </w:style>
  <w:style w:type="character" w:styleId="730" w:customStyle="1">
    <w:name w:val="Выделенная цитата Знак"/>
    <w:link w:val="754"/>
    <w:uiPriority w:val="30"/>
    <w:qFormat/>
    <w:rPr>
      <w:i/>
    </w:rPr>
  </w:style>
  <w:style w:type="character" w:styleId="731" w:customStyle="1">
    <w:name w:val="Верхний колонтитул Знак"/>
    <w:basedOn w:val="679"/>
    <w:link w:val="756"/>
    <w:uiPriority w:val="99"/>
    <w:qFormat/>
  </w:style>
  <w:style w:type="character" w:styleId="732" w:customStyle="1">
    <w:name w:val="Footer Char"/>
    <w:basedOn w:val="679"/>
    <w:uiPriority w:val="99"/>
    <w:qFormat/>
  </w:style>
  <w:style w:type="character" w:styleId="733" w:customStyle="1">
    <w:name w:val="Нижний колонтитул Знак"/>
    <w:link w:val="757"/>
    <w:uiPriority w:val="99"/>
    <w:qFormat/>
  </w:style>
  <w:style w:type="character" w:styleId="734" w:customStyle="1">
    <w:name w:val="Текст сноски Знак"/>
    <w:link w:val="759"/>
    <w:uiPriority w:val="99"/>
    <w:qFormat/>
    <w:rPr>
      <w:sz w:val="18"/>
    </w:rPr>
  </w:style>
  <w:style w:type="character" w:styleId="735" w:customStyle="1">
    <w:name w:val="Символ сноски"/>
    <w:uiPriority w:val="99"/>
    <w:unhideWhenUsed/>
    <w:qFormat/>
    <w:rPr>
      <w:vertAlign w:val="superscript"/>
    </w:rPr>
  </w:style>
  <w:style w:type="character" w:styleId="736">
    <w:name w:val="footnote reference"/>
    <w:rPr>
      <w:vertAlign w:val="superscript"/>
    </w:rPr>
  </w:style>
  <w:style w:type="character" w:styleId="737" w:customStyle="1">
    <w:name w:val="Текст концевой сноски Знак"/>
    <w:link w:val="760"/>
    <w:uiPriority w:val="99"/>
    <w:qFormat/>
    <w:rPr>
      <w:sz w:val="20"/>
    </w:rPr>
  </w:style>
  <w:style w:type="character" w:styleId="738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39">
    <w:name w:val="endnote reference"/>
    <w:rPr>
      <w:vertAlign w:val="superscript"/>
    </w:rPr>
  </w:style>
  <w:style w:type="character" w:styleId="740" w:customStyle="1">
    <w:name w:val="Основной текст Знак"/>
    <w:basedOn w:val="679"/>
    <w:link w:val="746"/>
    <w:qFormat/>
    <w:rPr>
      <w:rFonts w:ascii="Times New Roman" w:hAnsi="Times New Roman" w:eastAsia="Times New Roman" w:cs="Times New Roman"/>
      <w:sz w:val="20"/>
      <w:szCs w:val="20"/>
    </w:rPr>
  </w:style>
  <w:style w:type="character" w:styleId="741" w:customStyle="1">
    <w:name w:val="Текст выноски Знак"/>
    <w:basedOn w:val="679"/>
    <w:link w:val="773"/>
    <w:uiPriority w:val="99"/>
    <w:semiHidden/>
    <w:qFormat/>
    <w:rPr>
      <w:rFonts w:ascii="Tahoma" w:hAnsi="Tahoma" w:cs="Tahoma"/>
      <w:sz w:val="16"/>
      <w:szCs w:val="16"/>
    </w:rPr>
  </w:style>
  <w:style w:type="character" w:styleId="742" w:customStyle="1">
    <w:name w:val="Основной текст_"/>
    <w:link w:val="774"/>
    <w:qFormat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character" w:styleId="743">
    <w:name w:val="Hyperlink"/>
    <w:basedOn w:val="679"/>
    <w:uiPriority w:val="99"/>
    <w:semiHidden/>
    <w:unhideWhenUsed/>
    <w:rPr>
      <w:color w:val="0000ff"/>
      <w:u w:val="single"/>
    </w:rPr>
  </w:style>
  <w:style w:type="character" w:styleId="744" w:customStyle="1">
    <w:name w:val="Заголовок 2 Знак"/>
    <w:basedOn w:val="679"/>
    <w:uiPriority w:val="9"/>
    <w:qFormat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45" w:customStyle="1">
    <w:name w:val="Заголовок1"/>
    <w:basedOn w:val="669"/>
    <w:next w:val="746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746">
    <w:name w:val="Body Text"/>
    <w:basedOn w:val="669"/>
    <w:link w:val="740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paragraph" w:styleId="747">
    <w:name w:val="List"/>
    <w:basedOn w:val="746"/>
    <w:rPr>
      <w:rFonts w:cs="Lohit Devanagari"/>
    </w:rPr>
  </w:style>
  <w:style w:type="paragraph" w:styleId="748">
    <w:name w:val="Caption"/>
    <w:basedOn w:val="669"/>
    <w:link w:val="715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49">
    <w:name w:val="index heading"/>
    <w:basedOn w:val="745"/>
  </w:style>
  <w:style w:type="paragraph" w:styleId="750" w:customStyle="1">
    <w:name w:val="index heading1"/>
    <w:basedOn w:val="745"/>
    <w:qFormat/>
  </w:style>
  <w:style w:type="paragraph" w:styleId="751">
    <w:name w:val="Title"/>
    <w:basedOn w:val="669"/>
    <w:next w:val="669"/>
    <w:link w:val="727"/>
    <w:uiPriority w:val="10"/>
    <w:qFormat/>
    <w:pPr>
      <w:contextualSpacing/>
      <w:spacing w:before="300"/>
    </w:pPr>
    <w:rPr>
      <w:sz w:val="48"/>
      <w:szCs w:val="48"/>
    </w:rPr>
  </w:style>
  <w:style w:type="paragraph" w:styleId="752">
    <w:name w:val="Subtitle"/>
    <w:basedOn w:val="669"/>
    <w:next w:val="669"/>
    <w:link w:val="728"/>
    <w:uiPriority w:val="11"/>
    <w:qFormat/>
    <w:pPr>
      <w:spacing w:before="200"/>
    </w:pPr>
    <w:rPr>
      <w:sz w:val="24"/>
      <w:szCs w:val="24"/>
    </w:rPr>
  </w:style>
  <w:style w:type="paragraph" w:styleId="753">
    <w:name w:val="Quote"/>
    <w:basedOn w:val="669"/>
    <w:next w:val="669"/>
    <w:link w:val="729"/>
    <w:uiPriority w:val="29"/>
    <w:qFormat/>
    <w:pPr>
      <w:ind w:left="720" w:right="720"/>
    </w:pPr>
    <w:rPr>
      <w:i/>
    </w:rPr>
  </w:style>
  <w:style w:type="paragraph" w:styleId="754">
    <w:name w:val="Intense Quote"/>
    <w:basedOn w:val="669"/>
    <w:next w:val="669"/>
    <w:link w:val="73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5" w:customStyle="1">
    <w:name w:val="Колонтитул"/>
    <w:basedOn w:val="669"/>
    <w:qFormat/>
  </w:style>
  <w:style w:type="paragraph" w:styleId="756">
    <w:name w:val="Header"/>
    <w:basedOn w:val="669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7">
    <w:name w:val="Footer"/>
    <w:basedOn w:val="669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8" w:customStyle="1">
    <w:name w:val="caption1"/>
    <w:basedOn w:val="669"/>
    <w:next w:val="66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759">
    <w:name w:val="footnote text"/>
    <w:basedOn w:val="669"/>
    <w:link w:val="734"/>
    <w:uiPriority w:val="99"/>
    <w:semiHidden/>
    <w:unhideWhenUsed/>
    <w:pPr>
      <w:spacing w:after="40" w:line="240" w:lineRule="auto"/>
    </w:pPr>
    <w:rPr>
      <w:sz w:val="18"/>
    </w:rPr>
  </w:style>
  <w:style w:type="paragraph" w:styleId="760">
    <w:name w:val="endnote text"/>
    <w:basedOn w:val="669"/>
    <w:link w:val="737"/>
    <w:uiPriority w:val="99"/>
    <w:semiHidden/>
    <w:unhideWhenUsed/>
    <w:pPr>
      <w:spacing w:after="0" w:line="240" w:lineRule="auto"/>
    </w:pPr>
    <w:rPr>
      <w:sz w:val="20"/>
    </w:rPr>
  </w:style>
  <w:style w:type="paragraph" w:styleId="761">
    <w:name w:val="toc 1"/>
    <w:basedOn w:val="669"/>
    <w:next w:val="669"/>
    <w:uiPriority w:val="39"/>
    <w:unhideWhenUsed/>
    <w:pPr>
      <w:spacing w:after="57"/>
    </w:pPr>
  </w:style>
  <w:style w:type="paragraph" w:styleId="762">
    <w:name w:val="toc 2"/>
    <w:basedOn w:val="669"/>
    <w:next w:val="669"/>
    <w:uiPriority w:val="39"/>
    <w:unhideWhenUsed/>
    <w:pPr>
      <w:ind w:left="283"/>
      <w:spacing w:after="57"/>
    </w:pPr>
  </w:style>
  <w:style w:type="paragraph" w:styleId="763">
    <w:name w:val="toc 3"/>
    <w:basedOn w:val="669"/>
    <w:next w:val="669"/>
    <w:uiPriority w:val="39"/>
    <w:unhideWhenUsed/>
    <w:pPr>
      <w:ind w:left="567"/>
      <w:spacing w:after="57"/>
    </w:pPr>
  </w:style>
  <w:style w:type="paragraph" w:styleId="764">
    <w:name w:val="toc 4"/>
    <w:basedOn w:val="669"/>
    <w:next w:val="669"/>
    <w:uiPriority w:val="39"/>
    <w:unhideWhenUsed/>
    <w:pPr>
      <w:ind w:left="850"/>
      <w:spacing w:after="57"/>
    </w:pPr>
  </w:style>
  <w:style w:type="paragraph" w:styleId="765">
    <w:name w:val="toc 5"/>
    <w:basedOn w:val="669"/>
    <w:next w:val="669"/>
    <w:uiPriority w:val="39"/>
    <w:unhideWhenUsed/>
    <w:pPr>
      <w:ind w:left="1134"/>
      <w:spacing w:after="57"/>
    </w:pPr>
  </w:style>
  <w:style w:type="paragraph" w:styleId="766">
    <w:name w:val="toc 6"/>
    <w:basedOn w:val="669"/>
    <w:next w:val="669"/>
    <w:uiPriority w:val="39"/>
    <w:unhideWhenUsed/>
    <w:pPr>
      <w:ind w:left="1417"/>
      <w:spacing w:after="57"/>
    </w:pPr>
  </w:style>
  <w:style w:type="paragraph" w:styleId="767">
    <w:name w:val="toc 7"/>
    <w:basedOn w:val="669"/>
    <w:next w:val="669"/>
    <w:uiPriority w:val="39"/>
    <w:unhideWhenUsed/>
    <w:pPr>
      <w:ind w:left="1701"/>
      <w:spacing w:after="57"/>
    </w:pPr>
  </w:style>
  <w:style w:type="paragraph" w:styleId="768">
    <w:name w:val="toc 8"/>
    <w:basedOn w:val="669"/>
    <w:next w:val="669"/>
    <w:uiPriority w:val="39"/>
    <w:unhideWhenUsed/>
    <w:pPr>
      <w:ind w:left="1984"/>
      <w:spacing w:after="57"/>
    </w:pPr>
  </w:style>
  <w:style w:type="paragraph" w:styleId="769">
    <w:name w:val="toc 9"/>
    <w:basedOn w:val="669"/>
    <w:next w:val="669"/>
    <w:uiPriority w:val="39"/>
    <w:unhideWhenUsed/>
    <w:pPr>
      <w:ind w:left="2268"/>
      <w:spacing w:after="57"/>
    </w:pPr>
  </w:style>
  <w:style w:type="paragraph" w:styleId="770">
    <w:name w:val="TOC Heading"/>
    <w:uiPriority w:val="39"/>
    <w:unhideWhenUsed/>
    <w:qFormat/>
    <w:pPr>
      <w:spacing w:after="200" w:line="276" w:lineRule="auto"/>
    </w:pPr>
  </w:style>
  <w:style w:type="paragraph" w:styleId="771">
    <w:name w:val="table of figures"/>
    <w:basedOn w:val="669"/>
    <w:next w:val="669"/>
    <w:uiPriority w:val="99"/>
    <w:unhideWhenUsed/>
    <w:pPr>
      <w:spacing w:after="0"/>
    </w:pPr>
  </w:style>
  <w:style w:type="paragraph" w:styleId="772">
    <w:name w:val="List Paragraph"/>
    <w:basedOn w:val="669"/>
    <w:uiPriority w:val="34"/>
    <w:qFormat/>
    <w:pPr>
      <w:contextualSpacing/>
      <w:ind w:left="720"/>
    </w:pPr>
  </w:style>
  <w:style w:type="paragraph" w:styleId="773">
    <w:name w:val="Balloon Text"/>
    <w:basedOn w:val="669"/>
    <w:link w:val="741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74" w:customStyle="1">
    <w:name w:val="Основной текст2"/>
    <w:basedOn w:val="669"/>
    <w:link w:val="742"/>
    <w:qFormat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775">
    <w:name w:val="Normal (Web)"/>
    <w:basedOn w:val="669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76">
    <w:name w:val="No Spacing"/>
    <w:uiPriority w:val="1"/>
    <w:qFormat/>
  </w:style>
  <w:style w:type="paragraph" w:styleId="777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778" w:customStyle="1">
    <w:name w:val="Таблица простая 1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9" w:customStyle="1">
    <w:name w:val="Таблица простая 21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0" w:customStyle="1">
    <w:name w:val="Таблица простая 31"/>
    <w:basedOn w:val="680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f2f2f2" w:themeFill="text1" w:themeFillTint="0D"/>
      </w:tcPr>
    </w:tblStylePr>
    <w:tblStylePr w:type="band1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81" w:customStyle="1">
    <w:name w:val="Таблица простая 41"/>
    <w:basedOn w:val="680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f2f2f2" w:themeFill="text1" w:themeFillTint="0D"/>
      </w:tcPr>
    </w:tblStylePr>
    <w:tblStylePr w:type="band1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82" w:customStyle="1">
    <w:name w:val="Таблица простая 51"/>
    <w:basedOn w:val="680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f2f2f2" w:themeFill="text1" w:themeFillTint="0D"/>
      </w:tcPr>
    </w:tblStylePr>
    <w:tblStylePr w:type="band1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3" w:customStyle="1">
    <w:name w:val="Таблица-сетка 1 светлая1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4" w:customStyle="1">
    <w:name w:val="Таблица-сетка 2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Таблица-сетка 3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Таблица-сетка 41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87" w:customStyle="1">
    <w:name w:val="Таблица-сетка 5 темная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right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788" w:customStyle="1">
    <w:name w:val="Таблица-сетк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Таблица-сетка 7 цветная1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Список-таблица 1 светлая1"/>
    <w:basedOn w:val="680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Список-таблица 21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92" w:customStyle="1">
    <w:name w:val="Список-таблица 3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3" w:customStyle="1">
    <w:name w:val="Список-таблица 4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4" w:customStyle="1">
    <w:name w:val="Список-таблица 5 темная1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right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95" w:customStyle="1">
    <w:name w:val="Список-таблиц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796" w:customStyle="1">
    <w:name w:val="Список-таблица 7 цветная1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Таблица простая 1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98" w:customStyle="1">
    <w:name w:val="Таблица простая 21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99" w:customStyle="1">
    <w:name w:val="Таблица простая 3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00" w:customStyle="1">
    <w:name w:val="Таблица простая 4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01" w:customStyle="1">
    <w:name w:val="Таблица простая 5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2" w:customStyle="1">
    <w:name w:val="Таблица-сетка 1 светлая1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3" w:customStyle="1">
    <w:name w:val="Таблица-сетка 2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Таблица-сетка 3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Таблица-сетка 41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06" w:customStyle="1">
    <w:name w:val="Таблица-сетка 5 темная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07" w:customStyle="1">
    <w:name w:val="Таблица-сетк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8" w:customStyle="1">
    <w:name w:val="Таблица-сетка 7 цветная1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Список-таблица 1 светлая1"/>
    <w:basedOn w:val="68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Список-таблица 21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1" w:customStyle="1">
    <w:name w:val="Список-таблица 3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2" w:customStyle="1">
    <w:name w:val="Список-таблица 4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3" w:customStyle="1">
    <w:name w:val="Список-таблица 5 темная1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14" w:customStyle="1">
    <w:name w:val="Список-таблиц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15" w:customStyle="1">
    <w:name w:val="Список-таблица 7 цветная1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Таблица простая 1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7" w:customStyle="1">
    <w:name w:val="Таблица простая 21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8" w:customStyle="1">
    <w:name w:val="Таблица простая 3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19" w:customStyle="1">
    <w:name w:val="Таблица простая 4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20" w:customStyle="1">
    <w:name w:val="Таблица простая 5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1" w:customStyle="1">
    <w:name w:val="Таблица-сетка 1 светлая1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 w:customStyle="1">
    <w:name w:val="Таблица-сетка 2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Таблица-сетка 3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Таблица-сетка 41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25" w:customStyle="1">
    <w:name w:val="Таблица-сетка 5 темная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26" w:customStyle="1">
    <w:name w:val="Таблица-сетк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7" w:customStyle="1">
    <w:name w:val="Таблица-сетка 7 цветная1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Список-таблица 1 светлая1"/>
    <w:basedOn w:val="68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Список-таблица 21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0" w:customStyle="1">
    <w:name w:val="Список-таблица 3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1" w:customStyle="1">
    <w:name w:val="Список-таблица 4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2" w:customStyle="1">
    <w:name w:val="Список-таблица 5 темная1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3" w:customStyle="1">
    <w:name w:val="Список-таблиц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34" w:customStyle="1">
    <w:name w:val="Список-таблица 7 цветная1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Таблица простая 1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36" w:customStyle="1">
    <w:name w:val="Таблица простая 21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37" w:customStyle="1">
    <w:name w:val="Таблица простая 3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38" w:customStyle="1">
    <w:name w:val="Таблица простая 4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39" w:customStyle="1">
    <w:name w:val="Таблица простая 5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0" w:customStyle="1">
    <w:name w:val="Таблица-сетка 1 светлая1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1" w:customStyle="1">
    <w:name w:val="Таблица-сетка 2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Таблица-сетка 3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Таблица-сетка 41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44" w:customStyle="1">
    <w:name w:val="Таблица-сетка 5 темная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5" w:customStyle="1">
    <w:name w:val="Таблица-сетк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6" w:customStyle="1">
    <w:name w:val="Таблица-сетка 7 цветная1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Список-таблица 1 светлая1"/>
    <w:basedOn w:val="68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Список-таблица 21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9" w:customStyle="1">
    <w:name w:val="Список-таблица 3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Список-таблица 4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Список-таблица 5 темная1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2" w:customStyle="1">
    <w:name w:val="Список-таблиц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53" w:customStyle="1">
    <w:name w:val="Список-таблица 7 цветная1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Таблица простая 1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5" w:customStyle="1">
    <w:name w:val="Таблица простая 21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6" w:customStyle="1">
    <w:name w:val="Таблица простая 3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57" w:customStyle="1">
    <w:name w:val="Таблица простая 4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8" w:customStyle="1">
    <w:name w:val="Таблица простая 5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9" w:customStyle="1">
    <w:name w:val="Таблица-сетка 1 светлая1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 w:customStyle="1">
    <w:name w:val="Таблица-сетка 2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Таблица-сетка 3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Таблица-сетка 41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63" w:customStyle="1">
    <w:name w:val="Таблица-сетка 5 темная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64" w:customStyle="1">
    <w:name w:val="Таблица-сетк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5" w:customStyle="1">
    <w:name w:val="Таблица-сетка 7 цветная1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Список-таблица 1 светлая1"/>
    <w:basedOn w:val="68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Список-таблица 21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68" w:customStyle="1">
    <w:name w:val="Список-таблица 3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9" w:customStyle="1">
    <w:name w:val="Список-таблица 4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 w:customStyle="1">
    <w:name w:val="Список-таблица 5 темная1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1" w:customStyle="1">
    <w:name w:val="Список-таблиц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2" w:customStyle="1">
    <w:name w:val="Список-таблица 7 цветная1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Таблица простая 1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74" w:customStyle="1">
    <w:name w:val="Таблица простая 21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75" w:customStyle="1">
    <w:name w:val="Таблица простая 3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76" w:customStyle="1">
    <w:name w:val="Таблица простая 4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77" w:customStyle="1">
    <w:name w:val="Таблица простая 5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8" w:customStyle="1">
    <w:name w:val="Таблица-сетка 1 светлая1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9" w:customStyle="1">
    <w:name w:val="Таблица-сетка 2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Таблица-сетка 3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Таблица-сетка 41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82" w:customStyle="1">
    <w:name w:val="Таблица-сетка 5 темная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83" w:customStyle="1">
    <w:name w:val="Таблица-сетк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4" w:customStyle="1">
    <w:name w:val="Таблица-сетка 7 цветная1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Список-таблица 1 светлая1"/>
    <w:basedOn w:val="68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Список-таблица 21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87" w:customStyle="1">
    <w:name w:val="Список-таблица 3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8" w:customStyle="1">
    <w:name w:val="Список-таблица 4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 w:customStyle="1">
    <w:name w:val="Список-таблица 5 темная1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0" w:customStyle="1">
    <w:name w:val="Список-таблиц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91" w:customStyle="1">
    <w:name w:val="Список-таблица 7 цветная1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Таблица простая 1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93" w:customStyle="1">
    <w:name w:val="Таблица простая 21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94" w:customStyle="1">
    <w:name w:val="Таблица простая 3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95" w:customStyle="1">
    <w:name w:val="Таблица простая 4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96" w:customStyle="1">
    <w:name w:val="Таблица простая 5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97" w:customStyle="1">
    <w:name w:val="Таблица-сетка 1 светлая1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8" w:customStyle="1">
    <w:name w:val="Таблица-сетка 2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Таблица-сетка 3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Таблица-сетка 41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01" w:customStyle="1">
    <w:name w:val="Таблица-сетка 5 темная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02" w:customStyle="1">
    <w:name w:val="Таблица-сетк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3" w:customStyle="1">
    <w:name w:val="Таблица-сетка 7 цветная1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Список-таблица 1 светлая1"/>
    <w:basedOn w:val="68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Список-таблица 21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06" w:customStyle="1">
    <w:name w:val="Список-таблица 3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7" w:customStyle="1">
    <w:name w:val="Список-таблица 4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8" w:customStyle="1">
    <w:name w:val="Список-таблица 5 темная1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9" w:customStyle="1">
    <w:name w:val="Список-таблиц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10" w:customStyle="1">
    <w:name w:val="Список-таблица 7 цветная1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Таблица простая 1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12" w:customStyle="1">
    <w:name w:val="Заголовок 2 Знак1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13" w:customStyle="1">
    <w:name w:val="Таблица простая 3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14" w:customStyle="1">
    <w:name w:val="Таблица простая 4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15" w:customStyle="1">
    <w:name w:val="Таблица простая 5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16" w:customStyle="1">
    <w:name w:val="Таблица-сетка 1 светлая1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 w:customStyle="1">
    <w:name w:val="Таблица-сетка 2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Таблица-сетка 3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Таблица-сетка 41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20" w:customStyle="1">
    <w:name w:val="Таблица-сетка 5 темная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21" w:customStyle="1">
    <w:name w:val="Таблица-сетк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2" w:customStyle="1">
    <w:name w:val="Таблица-сетка 7 цветная1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3" w:customStyle="1">
    <w:name w:val="Список-таблица 1 светлая1"/>
    <w:basedOn w:val="68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Список-таблица 21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25" w:customStyle="1">
    <w:name w:val="Список-таблица 3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 w:customStyle="1">
    <w:name w:val="Список-таблица 4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 w:customStyle="1">
    <w:name w:val="Список-таблица 5 темная1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8" w:customStyle="1">
    <w:name w:val="Список-таблиц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29" w:customStyle="1">
    <w:name w:val="Список-таблица 7 цветная1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0">
    <w:name w:val="Table Grid"/>
    <w:basedOn w:val="68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1" w:customStyle="1">
    <w:name w:val="Table Grid Light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32" w:customStyle="1">
    <w:name w:val="Таблица простая 11"/>
    <w:basedOn w:val="68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33" w:customStyle="1">
    <w:name w:val="Таблица простая 21"/>
    <w:basedOn w:val="68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34" w:customStyle="1">
    <w:name w:val="Таблица простая 3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35" w:customStyle="1">
    <w:name w:val="Таблица простая 4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Таблица простая 51"/>
    <w:basedOn w:val="68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37" w:customStyle="1">
    <w:name w:val="Таблица-сетка 1 светлая1"/>
    <w:basedOn w:val="68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8" w:customStyle="1">
    <w:name w:val="Grid Table 1 Light - Accent 1"/>
    <w:basedOn w:val="68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9" w:customStyle="1">
    <w:name w:val="Grid Table 1 Light - Accent 2"/>
    <w:basedOn w:val="68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0" w:customStyle="1">
    <w:name w:val="Grid Table 1 Light - Accent 3"/>
    <w:basedOn w:val="68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1" w:customStyle="1">
    <w:name w:val="Grid Table 1 Light - Accent 4"/>
    <w:basedOn w:val="68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2" w:customStyle="1">
    <w:name w:val="Grid Table 1 Light - Accent 5"/>
    <w:basedOn w:val="68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3" w:customStyle="1">
    <w:name w:val="Grid Table 1 Light - Accent 6"/>
    <w:basedOn w:val="68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4" w:customStyle="1">
    <w:name w:val="Таблица-сетка 2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Grid Table 2 - Accent 1"/>
    <w:basedOn w:val="68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Grid Table 2 - Accent 2"/>
    <w:basedOn w:val="68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Grid Table 2 - Accent 3"/>
    <w:basedOn w:val="68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Grid Table 2 - Accent 4"/>
    <w:basedOn w:val="68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2 - Accent 5"/>
    <w:basedOn w:val="68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Grid Table 2 - Accent 6"/>
    <w:basedOn w:val="68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Таблица-сетка 31"/>
    <w:basedOn w:val="68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Grid Table 3 - Accent 1"/>
    <w:basedOn w:val="68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Grid Table 3 - Accent 2"/>
    <w:basedOn w:val="68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Grid Table 3 - Accent 3"/>
    <w:basedOn w:val="68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Grid Table 3 - Accent 4"/>
    <w:basedOn w:val="68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Grid Table 3 - Accent 5"/>
    <w:basedOn w:val="68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Grid Table 3 - Accent 6"/>
    <w:basedOn w:val="68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Таблица-сетка 41"/>
    <w:basedOn w:val="68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59" w:customStyle="1">
    <w:name w:val="Grid Table 4 - Accent 1"/>
    <w:basedOn w:val="68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960" w:customStyle="1">
    <w:name w:val="Grid Table 4 - Accent 2"/>
    <w:basedOn w:val="68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961" w:customStyle="1">
    <w:name w:val="Grid Table 4 - Accent 3"/>
    <w:basedOn w:val="68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962" w:customStyle="1">
    <w:name w:val="Grid Table 4 - Accent 4"/>
    <w:basedOn w:val="68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963" w:customStyle="1">
    <w:name w:val="Grid Table 4 - Accent 5"/>
    <w:basedOn w:val="68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964" w:customStyle="1">
    <w:name w:val="Grid Table 4 - Accent 6"/>
    <w:basedOn w:val="68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965" w:customStyle="1">
    <w:name w:val="Таблица-сетка 5 темная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66" w:customStyle="1">
    <w:name w:val="Grid Table 5 Dark- Accent 1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967" w:customStyle="1">
    <w:name w:val="Grid Table 5 Dark - Accent 2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968" w:customStyle="1">
    <w:name w:val="Grid Table 5 Dark - Accent 3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969" w:customStyle="1">
    <w:name w:val="Grid Table 5 Dark- Accent 4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970" w:customStyle="1">
    <w:name w:val="Grid Table 5 Dark - Accent 5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971" w:customStyle="1">
    <w:name w:val="Grid Table 5 Dark - Accent 6"/>
    <w:basedOn w:val="68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972" w:customStyle="1">
    <w:name w:val="Таблица-сетк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73" w:customStyle="1">
    <w:name w:val="Grid Table 6 Colorful - Accent 1"/>
    <w:basedOn w:val="68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74" w:customStyle="1">
    <w:name w:val="Grid Table 6 Colorful - Accent 2"/>
    <w:basedOn w:val="68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75" w:customStyle="1">
    <w:name w:val="Grid Table 6 Colorful - Accent 3"/>
    <w:basedOn w:val="68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76" w:customStyle="1">
    <w:name w:val="Grid Table 6 Colorful - Accent 4"/>
    <w:basedOn w:val="68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77" w:customStyle="1">
    <w:name w:val="Grid Table 6 Colorful - Accent 5"/>
    <w:basedOn w:val="68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78" w:customStyle="1">
    <w:name w:val="Grid Table 6 Colorful - Accent 6"/>
    <w:basedOn w:val="68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79" w:customStyle="1">
    <w:name w:val="Таблица-сетка 7 цветная1"/>
    <w:basedOn w:val="68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0" w:customStyle="1">
    <w:name w:val="Grid Table 7 Colorful - Accent 1"/>
    <w:basedOn w:val="68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1" w:customStyle="1">
    <w:name w:val="Grid Table 7 Colorful - Accent 2"/>
    <w:basedOn w:val="68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2" w:customStyle="1">
    <w:name w:val="Grid Table 7 Colorful - Accent 3"/>
    <w:basedOn w:val="68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3" w:customStyle="1">
    <w:name w:val="Grid Table 7 Colorful - Accent 4"/>
    <w:basedOn w:val="68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4" w:customStyle="1">
    <w:name w:val="Grid Table 7 Colorful - Accent 5"/>
    <w:basedOn w:val="68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5" w:customStyle="1">
    <w:name w:val="Grid Table 7 Colorful - Accent 6"/>
    <w:basedOn w:val="68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6" w:customStyle="1">
    <w:name w:val="Список-таблица 1 светлая1"/>
    <w:basedOn w:val="68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List Table 1 Light - Accent 1"/>
    <w:basedOn w:val="680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List Table 1 Light - Accent 2"/>
    <w:basedOn w:val="680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 w:customStyle="1">
    <w:name w:val="List Table 1 Light - Accent 3"/>
    <w:basedOn w:val="680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 w:customStyle="1">
    <w:name w:val="List Table 1 Light - Accent 4"/>
    <w:basedOn w:val="680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 w:customStyle="1">
    <w:name w:val="List Table 1 Light - Accent 5"/>
    <w:basedOn w:val="680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 w:customStyle="1">
    <w:name w:val="List Table 1 Light - Accent 6"/>
    <w:basedOn w:val="680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 w:customStyle="1">
    <w:name w:val="Список-таблица 21"/>
    <w:basedOn w:val="68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94" w:customStyle="1">
    <w:name w:val="List Table 2 - Accent 1"/>
    <w:basedOn w:val="68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995" w:customStyle="1">
    <w:name w:val="List Table 2 - Accent 2"/>
    <w:basedOn w:val="68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996" w:customStyle="1">
    <w:name w:val="List Table 2 - Accent 3"/>
    <w:basedOn w:val="68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997" w:customStyle="1">
    <w:name w:val="List Table 2 - Accent 4"/>
    <w:basedOn w:val="68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998" w:customStyle="1">
    <w:name w:val="List Table 2 - Accent 5"/>
    <w:basedOn w:val="68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999" w:customStyle="1">
    <w:name w:val="List Table 2 - Accent 6"/>
    <w:basedOn w:val="68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1000" w:customStyle="1">
    <w:name w:val="Список-таблица 3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1" w:customStyle="1">
    <w:name w:val="List Table 3 - Accent 1"/>
    <w:basedOn w:val="68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2" w:customStyle="1">
    <w:name w:val="List Table 3 - Accent 2"/>
    <w:basedOn w:val="68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3" w:customStyle="1">
    <w:name w:val="List Table 3 - Accent 3"/>
    <w:basedOn w:val="68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4" w:customStyle="1">
    <w:name w:val="List Table 3 - Accent 4"/>
    <w:basedOn w:val="68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5" w:customStyle="1">
    <w:name w:val="List Table 3 - Accent 5"/>
    <w:basedOn w:val="68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6" w:customStyle="1">
    <w:name w:val="List Table 3 - Accent 6"/>
    <w:basedOn w:val="68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7" w:customStyle="1">
    <w:name w:val="Список-таблица 41"/>
    <w:basedOn w:val="68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8" w:customStyle="1">
    <w:name w:val="List Table 4 - Accent 1"/>
    <w:basedOn w:val="68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9" w:customStyle="1">
    <w:name w:val="List Table 4 - Accent 2"/>
    <w:basedOn w:val="68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0" w:customStyle="1">
    <w:name w:val="List Table 4 - Accent 3"/>
    <w:basedOn w:val="68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1" w:customStyle="1">
    <w:name w:val="List Table 4 - Accent 4"/>
    <w:basedOn w:val="68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2" w:customStyle="1">
    <w:name w:val="List Table 4 - Accent 5"/>
    <w:basedOn w:val="68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3" w:customStyle="1">
    <w:name w:val="List Table 4 - Accent 6"/>
    <w:basedOn w:val="68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4" w:customStyle="1">
    <w:name w:val="Список-таблица 5 темная1"/>
    <w:basedOn w:val="68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5" w:customStyle="1">
    <w:name w:val="List Table 5 Dark - Accent 1"/>
    <w:basedOn w:val="68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6" w:customStyle="1">
    <w:name w:val="List Table 5 Dark - Accent 2"/>
    <w:basedOn w:val="68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7" w:customStyle="1">
    <w:name w:val="List Table 5 Dark - Accent 3"/>
    <w:basedOn w:val="68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8" w:customStyle="1">
    <w:name w:val="List Table 5 Dark - Accent 4"/>
    <w:basedOn w:val="68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9" w:customStyle="1">
    <w:name w:val="List Table 5 Dark - Accent 5"/>
    <w:basedOn w:val="68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20" w:customStyle="1">
    <w:name w:val="List Table 5 Dark - Accent 6"/>
    <w:basedOn w:val="68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21" w:customStyle="1">
    <w:name w:val="Список-таблица 6 цветная1"/>
    <w:basedOn w:val="68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22" w:customStyle="1">
    <w:name w:val="List Table 6 Colorful - Accent 1"/>
    <w:basedOn w:val="68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23" w:customStyle="1">
    <w:name w:val="List Table 6 Colorful - Accent 2"/>
    <w:basedOn w:val="68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1024" w:customStyle="1">
    <w:name w:val="List Table 6 Colorful - Accent 3"/>
    <w:basedOn w:val="68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1025" w:customStyle="1">
    <w:name w:val="List Table 6 Colorful - Accent 4"/>
    <w:basedOn w:val="68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1026" w:customStyle="1">
    <w:name w:val="List Table 6 Colorful - Accent 5"/>
    <w:basedOn w:val="68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1027" w:customStyle="1">
    <w:name w:val="List Table 6 Colorful - Accent 6"/>
    <w:basedOn w:val="68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1028" w:customStyle="1">
    <w:name w:val="Список-таблица 7 цветная1"/>
    <w:basedOn w:val="68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9" w:customStyle="1">
    <w:name w:val="List Table 7 Colorful - Accent 1"/>
    <w:basedOn w:val="68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0" w:customStyle="1">
    <w:name w:val="List Table 7 Colorful - Accent 2"/>
    <w:basedOn w:val="68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1" w:customStyle="1">
    <w:name w:val="List Table 7 Colorful - Accent 3"/>
    <w:basedOn w:val="68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2" w:customStyle="1">
    <w:name w:val="List Table 7 Colorful - Accent 4"/>
    <w:basedOn w:val="68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3" w:customStyle="1">
    <w:name w:val="List Table 7 Colorful - Accent 5"/>
    <w:basedOn w:val="68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4" w:customStyle="1">
    <w:name w:val="List Table 7 Colorful - Accent 6"/>
    <w:basedOn w:val="68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5" w:customStyle="1">
    <w:name w:val="Lined - Accent"/>
    <w:basedOn w:val="68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36" w:customStyle="1">
    <w:name w:val="Lined - Accent 1"/>
    <w:basedOn w:val="68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37" w:customStyle="1">
    <w:name w:val="Lined - Accent 2"/>
    <w:basedOn w:val="68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38" w:customStyle="1">
    <w:name w:val="Lined - Accent 3"/>
    <w:basedOn w:val="68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39" w:customStyle="1">
    <w:name w:val="Lined - Accent 4"/>
    <w:basedOn w:val="68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40" w:customStyle="1">
    <w:name w:val="Lined - Accent 5"/>
    <w:basedOn w:val="68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41" w:customStyle="1">
    <w:name w:val="Lined - Accent 6"/>
    <w:basedOn w:val="68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42" w:customStyle="1">
    <w:name w:val="Bordered &amp; Lined - Accent"/>
    <w:basedOn w:val="68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43" w:customStyle="1">
    <w:name w:val="Bordered &amp; Lined - Accent 1"/>
    <w:basedOn w:val="68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44" w:customStyle="1">
    <w:name w:val="Bordered &amp; Lined - Accent 2"/>
    <w:basedOn w:val="68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45" w:customStyle="1">
    <w:name w:val="Bordered &amp; Lined - Accent 3"/>
    <w:basedOn w:val="68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46" w:customStyle="1">
    <w:name w:val="Bordered &amp; Lined - Accent 4"/>
    <w:basedOn w:val="68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47" w:customStyle="1">
    <w:name w:val="Bordered &amp; Lined - Accent 5"/>
    <w:basedOn w:val="68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48" w:customStyle="1">
    <w:name w:val="Bordered &amp; Lined - Accent 6"/>
    <w:basedOn w:val="68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49" w:customStyle="1">
    <w:name w:val="Bordered"/>
    <w:basedOn w:val="68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50" w:customStyle="1">
    <w:name w:val="Bordered - Accent 1"/>
    <w:basedOn w:val="68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51" w:customStyle="1">
    <w:name w:val="Bordered - Accent 2"/>
    <w:basedOn w:val="68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1052" w:customStyle="1">
    <w:name w:val="Bordered - Accent 3"/>
    <w:basedOn w:val="68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1053" w:customStyle="1">
    <w:name w:val="Bordered - Accent 4"/>
    <w:basedOn w:val="68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1054" w:customStyle="1">
    <w:name w:val="Bordered - Accent 5"/>
    <w:basedOn w:val="68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1055" w:customStyle="1">
    <w:name w:val="Bordered - Accent 6"/>
    <w:basedOn w:val="68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908A0-CB4B-4C57-A52E-669E8ABCE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Ражина</dc:creator>
  <dc:description/>
  <dc:language>ru-RU</dc:language>
  <cp:lastModifiedBy>konovalenkoan</cp:lastModifiedBy>
  <cp:revision>352</cp:revision>
  <dcterms:created xsi:type="dcterms:W3CDTF">2022-09-15T06:40:00Z</dcterms:created>
  <dcterms:modified xsi:type="dcterms:W3CDTF">2026-03-23T10:21:22Z</dcterms:modified>
</cp:coreProperties>
</file>