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spacing w:after="0" w:line="240" w:lineRule="atLeast"/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  <w:t xml:space="preserve">Об итогах работы ТФОМС Липецкой области за 9 месяцев 2023 года.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r>
    </w:p>
    <w:p>
      <w:pPr>
        <w:ind w:firstLine="567"/>
        <w:spacing w:after="0" w:line="283" w:lineRule="atLeast"/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r>
    </w:p>
    <w:p>
      <w:pPr>
        <w:pStyle w:val="866"/>
        <w:ind w:firstLine="720"/>
        <w:jc w:val="both"/>
        <w:spacing w:after="0"/>
        <w:tabs>
          <w:tab w:val="left" w:pos="720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За </w:t>
      </w:r>
      <w:r>
        <w:rPr>
          <w:b w:val="0"/>
          <w:bCs w:val="0"/>
          <w:spacing w:val="-5"/>
          <w:sz w:val="28"/>
          <w:szCs w:val="28"/>
        </w:rPr>
        <w:t xml:space="preserve">9 месяцев </w:t>
      </w:r>
      <w:r>
        <w:rPr>
          <w:b w:val="0"/>
          <w:bCs w:val="0"/>
          <w:sz w:val="28"/>
          <w:szCs w:val="28"/>
        </w:rPr>
        <w:t xml:space="preserve">2023 года доходы бюджета территориального фонда ОМС сложились в размере 14 233.9 </w:t>
      </w:r>
      <w:r>
        <w:rPr>
          <w:b w:val="0"/>
          <w:bCs w:val="0"/>
          <w:sz w:val="28"/>
          <w:szCs w:val="28"/>
        </w:rPr>
        <w:t xml:space="preserve">млн</w:t>
      </w:r>
      <w:r>
        <w:rPr>
          <w:b w:val="0"/>
          <w:bCs w:val="0"/>
          <w:sz w:val="28"/>
          <w:szCs w:val="28"/>
        </w:rPr>
        <w:t xml:space="preserve">.р</w:t>
      </w:r>
      <w:r>
        <w:rPr>
          <w:b w:val="0"/>
          <w:bCs w:val="0"/>
          <w:sz w:val="28"/>
          <w:szCs w:val="28"/>
        </w:rPr>
        <w:t xml:space="preserve">уб</w:t>
      </w:r>
      <w:r>
        <w:rPr>
          <w:b w:val="0"/>
          <w:bCs w:val="0"/>
          <w:sz w:val="28"/>
          <w:szCs w:val="28"/>
        </w:rPr>
        <w:t xml:space="preserve">., что составляет 99,2% от утвержденных законом бюджетных назначений и 107.2% к доходам аналогичного периода 2022  года  (13 272,2  </w:t>
      </w:r>
      <w:r>
        <w:rPr>
          <w:b w:val="0"/>
          <w:bCs w:val="0"/>
          <w:sz w:val="28"/>
          <w:szCs w:val="28"/>
        </w:rPr>
        <w:t xml:space="preserve">млн.руб</w:t>
      </w:r>
      <w:r>
        <w:rPr>
          <w:b w:val="0"/>
          <w:bCs w:val="0"/>
          <w:sz w:val="28"/>
          <w:szCs w:val="28"/>
        </w:rPr>
        <w:t xml:space="preserve">.). </w:t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tabs>
          <w:tab w:val="left" w:pos="720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В бюджет территориального фонда обязательного медицинского страхования Липецкой области за этот период поступило сре</w:t>
      </w:r>
      <w:r>
        <w:rPr>
          <w:b w:val="0"/>
          <w:bCs w:val="0"/>
          <w:sz w:val="28"/>
          <w:szCs w:val="28"/>
        </w:rPr>
        <w:t xml:space="preserve">дств в в</w:t>
      </w:r>
      <w:r>
        <w:rPr>
          <w:b w:val="0"/>
          <w:bCs w:val="0"/>
          <w:sz w:val="28"/>
          <w:szCs w:val="28"/>
        </w:rPr>
        <w:t xml:space="preserve">иде:</w:t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tabs>
          <w:tab w:val="left" w:pos="720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13 421,9 </w:t>
      </w:r>
      <w:r>
        <w:rPr>
          <w:b w:val="0"/>
          <w:bCs w:val="0"/>
          <w:sz w:val="28"/>
          <w:szCs w:val="28"/>
        </w:rPr>
        <w:t xml:space="preserve">млн</w:t>
      </w:r>
      <w:r>
        <w:rPr>
          <w:b w:val="0"/>
          <w:bCs w:val="0"/>
          <w:sz w:val="28"/>
          <w:szCs w:val="28"/>
        </w:rPr>
        <w:t xml:space="preserve">.р</w:t>
      </w:r>
      <w:r>
        <w:rPr>
          <w:b w:val="0"/>
          <w:bCs w:val="0"/>
          <w:sz w:val="28"/>
          <w:szCs w:val="28"/>
        </w:rPr>
        <w:t xml:space="preserve">уб</w:t>
      </w:r>
      <w:r>
        <w:rPr>
          <w:b w:val="0"/>
          <w:bCs w:val="0"/>
          <w:sz w:val="28"/>
          <w:szCs w:val="28"/>
        </w:rPr>
        <w:t xml:space="preserve">.; </w:t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tabs>
          <w:tab w:val="left" w:pos="720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84,5 </w:t>
      </w:r>
      <w:r>
        <w:rPr>
          <w:b w:val="0"/>
          <w:bCs w:val="0"/>
          <w:sz w:val="28"/>
          <w:szCs w:val="28"/>
        </w:rPr>
        <w:t xml:space="preserve">млн</w:t>
      </w:r>
      <w:r>
        <w:rPr>
          <w:b w:val="0"/>
          <w:bCs w:val="0"/>
          <w:sz w:val="28"/>
          <w:szCs w:val="28"/>
        </w:rPr>
        <w:t xml:space="preserve">.р</w:t>
      </w:r>
      <w:r>
        <w:rPr>
          <w:b w:val="0"/>
          <w:bCs w:val="0"/>
          <w:sz w:val="28"/>
          <w:szCs w:val="28"/>
        </w:rPr>
        <w:t xml:space="preserve">уб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line="276" w:lineRule="auto"/>
        <w:tabs>
          <w:tab w:val="left" w:pos="720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Кроме того, в доход бюджета территориального фонда из областного бюджета дополнительно поступили средства на дополнительное финансовое обеспечение оказания медицинской помощи по профилю «онкология» в размере 470,0 млн. руб.</w:t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line="276" w:lineRule="auto"/>
        <w:tabs>
          <w:tab w:val="left" w:pos="720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Рост сопоставимых вышеуказанных доходов фонда для финансового обеспечения  реализации территориальной программы ОМС в 2023 году составил  1126,2 млн. руб. или 8,8%.</w:t>
      </w:r>
      <w:r>
        <w:rPr>
          <w:b w:val="0"/>
          <w:bCs w:val="0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На выполнение территориальной программы ОМС в части оплаты медпомощи за 9 месяцев текущего года страховыми медицинскими организациями направлено 13 226,6  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.р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., что составляет 99,5% от утвержденной стоимости программы и 109,1%  к аналогичному показателю прошлого года (12126,5 млн. руб.), в том числе: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стоимость амбулаторно-поликлинической помощи утверждена в сумме 5159,4  млн. руб., фактическое выполнение составило  – 5038,0 млн. руб. или 97,6% от утвержденной и 116,0% к соответствующему показателю прошлого года (4341,5 млн. руб.),</w:t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стоимость стационарной помощи утверждена в сумме 5794,8 млн. руб., фактическое выполнение составило   5805,5  млн. руб. или </w:t>
      </w:r>
      <w:r>
        <w:rPr>
          <w:b w:val="0"/>
          <w:bCs w:val="0"/>
          <w:sz w:val="28"/>
          <w:szCs w:val="28"/>
        </w:rPr>
        <w:t xml:space="preserve">100,2</w:t>
      </w:r>
      <w:r>
        <w:rPr>
          <w:b w:val="0"/>
          <w:bCs w:val="0"/>
          <w:sz w:val="28"/>
          <w:szCs w:val="28"/>
        </w:rPr>
        <w:t xml:space="preserve">%  от утвержденной и </w:t>
      </w:r>
      <w:r>
        <w:rPr>
          <w:b w:val="0"/>
          <w:bCs w:val="0"/>
          <w:sz w:val="28"/>
          <w:szCs w:val="28"/>
        </w:rPr>
        <w:t xml:space="preserve">101,8</w:t>
      </w:r>
      <w:bookmarkStart w:id="0" w:name="_GoBack"/>
      <w:r>
        <w:rPr>
          <w:b w:val="0"/>
          <w:bCs w:val="0"/>
        </w:rPr>
      </w:r>
      <w:bookmarkEnd w:id="0"/>
      <w:r>
        <w:rPr>
          <w:b w:val="0"/>
          <w:bCs w:val="0"/>
          <w:sz w:val="28"/>
          <w:szCs w:val="28"/>
        </w:rPr>
        <w:t xml:space="preserve">% к аналогичному показателю прошлого года (5703,8 млн. руб.), </w:t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стоимость медицинской помощи в дневных стационарах (без учета ЭКО) утверждена в сумме 1435,4 млн. руб., фактически выполнено – 1519,4 млн. руб. или 105,9%  от утвержденной стоимости и 117,0% к соответствующему показателю 2022 года (1299,3 млн. руб.),</w:t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66"/>
        <w:ind w:firstLine="720"/>
        <w:jc w:val="both"/>
        <w:spacing w:after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стоимость скорой медицинской помощи утверждена в сумме 841,5 млн. </w:t>
      </w:r>
      <w:r>
        <w:rPr>
          <w:b w:val="0"/>
          <w:bCs w:val="0"/>
          <w:sz w:val="28"/>
          <w:szCs w:val="28"/>
        </w:rPr>
        <w:t xml:space="preserve">руб., фактически выполнено – 818,2 млн. руб. или 97,2% от утвержденной и 110% к соответствующему показателю прошлого года (744,0 млн. руб.). </w:t>
      </w:r>
      <w:r>
        <w:rPr>
          <w:b w:val="0"/>
          <w:bCs w:val="0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выполнены: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- по стационарной помощи – на 110,1%, и на 106,2% от уровня прошлого года (159242 случая в текущем году и 149879 случаев в прошлом);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- по амбулаторно-поликлинической помощи – на 98,1%, и 103,4% от уровня прошлого  года (7366034 посещений против 7123673 посещений в прошлый период);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- по медицинской помощи, оказанной в дневных стационарах всех типов, - на 96,0%, и на 113,0% к показателю прошлого года, 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- по скорой помощи – на 84,1%, и 93,6% от уровня аналогичного показателя прошлого года. 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Среднедушевой норматив финансирования территориальной программы ОМС сложилс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я по результатам 9 месяцев 2023 года в размере 11504,23 руб. на 1 застрахованного жителя области, что составляет  97,0% от утвержденного показателя Программой государственных гарантий (11856,55 руб.) и на 8,5% выше прошлогоднего показателя (10602,76 руб.).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Стоимость специализированной медицинской помощи, оказанной пациентам со злокачественными новообразованиями (ЗНО), застрах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ованных на территории Липецкой области, за 9 месяцев 2023 года составила 1 862,4 млн. рублей (102% от запланированной суммы – 1827,8 млн. рублей), в том числе в стационарных условиях – 967,2 млн. рублей, в условиях дневного стационара – 895,2 млн. рублей.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Средняя стоимость 1 слу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чая специализированного лечения пациентов с ЗНО, застрахованных и пролеченных на территории Липецкой области за отчетный период составила в целом 63 тыс. рублей, в стационарных условиях – 58,8 тыс. рублей, в условиях дневного стационара - 69,6 тыс. рублей.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Стоимость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химиотерапии, проведенной пациентам с ЗНО за 9 месяцев 2023 года составила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1 187,2  млн. рублей, в том числе в стационарных условиях - 560,5 млн. рублей, в условиях дневного стационара – 626,7 млн. рублей.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структуре объема оказанной медицинской помощи удельный вес химиотерапии составил 73% (18 769 госпитализаций), в том числе в стационарных условиях – 65% (10 282 госпитализации), в условиях дневного стационара – 85% (8 487 госпитализаций).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результате проведенного медико-экономического контроля по пункту дефекта 1.6.3 (предъявление к оплате медицинской помощ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 сверх распределенного объема предоставления медицинской помощи, установленного решением комиссии по разработке территориальной программы ОМС) за 9 месяцев  2023 года от оплаты отклонено 26 случаев лечения в стационарных условиях на сумму 6,2 млн. рублей.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 диспансеризации взрослого населения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9 месяцев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2023 года составил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89 0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человек. Фактически осмотрено в рамках диспансеризации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308 946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 или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106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,9% от утвержденного плана. Предъявлено счетов к оплате за проведенную диспансеризацию в рамках 1 и 2 этапа на сумму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771,8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рублей, оплачено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771,4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рублей. Из 30 медицинских организаций, проводивших диспансеризацию взрослого населения, не выполнили установленный план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–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8, в том числе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 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«Липецкая городская больница № 3 «Свободный Сокол» -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78,1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%;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«Липецк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районная больница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95,4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%;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Краснинская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районная больница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98,0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«Лев-Толстовская районная больница» – 97,6%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 профилактических медицинских осмотров взрослого населения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9 месяцев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2023 года составил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75618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человек. Фактически осмотрено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70261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 на сумму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110,3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рублей, что составило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92,9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 от утвержденного плана. Из 30 медицинских организаций, проводивших профилактические медицинские осмотры взрослого населения, не выполнили установленный план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–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8, в том числе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«Липецкая городская больница № 4 «Липецк-Мед» - 7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«Липецкая городская больница № 3 «Свободный Сокол» - 72%;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«Липецкая городская поликлиника № 7»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%;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Воловская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РБ»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%;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Долгоруковская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РБ»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5%;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Краснинская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РБ» – 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%;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«Елецкая РБ»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%;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Лев-Толстовская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РБ»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ГУЗ «Липецкая РБ» –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%.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 профилактических медицинских осмотров несовершеннолетних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9 месяцев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2023 года составил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156 939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человек. Фактически осмотрено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120 700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 на сумму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365,2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рублей, что составило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76,9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 от утвержденного плана. Из 23 медицинских организаций, проводивших профилактические медицинские осмотры несовершеннолетних, выполнили установленный план только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 диспансеризации детей-сирот, усыновленных и принятых под опеку,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9 месяцев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2023 года составил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1165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человек. Фактически осмотрено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1242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5,4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рублей, что составило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106,6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 от утвержденного плана.</w:t>
      </w:r>
      <w:r>
        <w:rPr>
          <w:b w:val="0"/>
          <w:bCs w:val="0"/>
        </w:rPr>
      </w:r>
    </w:p>
    <w:p>
      <w:pPr>
        <w:pStyle w:val="874"/>
        <w:ind w:firstLine="709"/>
        <w:jc w:val="both"/>
        <w:spacing w:line="283" w:lineRule="atLeast"/>
        <w:tabs>
          <w:tab w:val="left" w:pos="6397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 диспансеризации детей-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сирот, пребывающих в стационарных учреждениях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2023 года составил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человек. Фактически осмотрено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701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 на сумму 3,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рублей, что составило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90,2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 от утвержденного плана.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Число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пациентов, подлежащих диспансерному наблюдению за отчетный период составило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152 978 человек. Прошли диспансерное наблюдение 129 544 человека  или 84,7% от планового показателя. Всего оплачено реестров счетов в рамках диспансерного наблюдения за 9 месяцев 2023 года на сумму 201,1 млн. рублей.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2023 года в медицинских организациях Липецкой области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оказана медицинская помощь 23 710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иног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ороднему пациенту на сумму 327,7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рублей. 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Согласно, предъявленным медицинскими организациями Липецкой области счетам и реестрам, иногородним пациентам оказана медицинская помощь по следующим основным профилям:</w:t>
      </w:r>
      <w:r>
        <w:rPr>
          <w:b w:val="0"/>
          <w:bCs w:val="0"/>
        </w:rPr>
      </w:r>
    </w:p>
    <w:p>
      <w:pPr>
        <w:pStyle w:val="868"/>
        <w:ind w:left="0" w:firstLine="708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акушерство и гинекология – 2 776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случаев на сумму 18,1 млн. 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офтальмология – 10 545 случаев на сумму 108,2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онкология - 751 случай на сумму 18,3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ублей (в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т.ч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химиотерапия - 191 случай на сумму 12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,0 млн. рублей);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кардиология - 909 случаев на сумму 17,1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нефрология – 1 834 случая на сумму 13,7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неврология – 1 956 случаев на сумму 14,9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равматология и ортопедия – 2 533случаев на сумму 12,5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рублей.</w:t>
      </w:r>
      <w:r>
        <w:rPr>
          <w:b w:val="0"/>
          <w:bCs w:val="0"/>
        </w:rPr>
      </w:r>
    </w:p>
    <w:p>
      <w:pPr>
        <w:pStyle w:val="866"/>
        <w:ind w:firstLine="709"/>
        <w:jc w:val="both"/>
        <w:spacing w:after="0" w:line="283" w:lineRule="atLeast"/>
        <w:rPr>
          <w:b w:val="0"/>
          <w:bCs w:val="0"/>
        </w:rPr>
      </w:pPr>
      <w:r>
        <w:rPr>
          <w:b w:val="0"/>
          <w:bCs w:val="0"/>
          <w:sz w:val="28"/>
          <w:szCs w:val="28"/>
        </w:rPr>
        <w:t xml:space="preserve">За </w:t>
      </w:r>
      <w:r>
        <w:rPr>
          <w:b w:val="0"/>
          <w:bCs w:val="0"/>
          <w:sz w:val="28"/>
          <w:szCs w:val="28"/>
        </w:rPr>
        <w:t xml:space="preserve">9 месяцев</w:t>
      </w:r>
      <w:r>
        <w:rPr>
          <w:b w:val="0"/>
          <w:bCs w:val="0"/>
          <w:sz w:val="28"/>
          <w:szCs w:val="28"/>
        </w:rPr>
        <w:t xml:space="preserve"> 2023 года в медицинских организациях других субъектов Российской Федерации о</w:t>
      </w:r>
      <w:r>
        <w:rPr>
          <w:b w:val="0"/>
          <w:bCs w:val="0"/>
          <w:sz w:val="28"/>
          <w:szCs w:val="28"/>
        </w:rPr>
        <w:t xml:space="preserve">казана медицинская помощь 21 </w:t>
      </w:r>
      <w:r>
        <w:rPr>
          <w:b w:val="0"/>
          <w:bCs w:val="0"/>
          <w:sz w:val="28"/>
          <w:szCs w:val="28"/>
        </w:rPr>
        <w:t xml:space="preserve">784</w:t>
      </w:r>
      <w:r>
        <w:rPr>
          <w:b w:val="0"/>
          <w:bCs w:val="0"/>
          <w:sz w:val="28"/>
          <w:szCs w:val="28"/>
        </w:rPr>
        <w:t xml:space="preserve"> пациентам, застрахованным на территории</w:t>
      </w:r>
      <w:r>
        <w:rPr>
          <w:b w:val="0"/>
          <w:bCs w:val="0"/>
          <w:sz w:val="28"/>
          <w:szCs w:val="28"/>
        </w:rPr>
        <w:t xml:space="preserve"> Липецкой области на сумму 637,5</w:t>
      </w:r>
      <w:r>
        <w:rPr>
          <w:b w:val="0"/>
          <w:bCs w:val="0"/>
          <w:sz w:val="28"/>
          <w:szCs w:val="28"/>
        </w:rPr>
        <w:t xml:space="preserve"> млн. рублей, в том числе по высокотехноло</w:t>
      </w:r>
      <w:r>
        <w:rPr>
          <w:b w:val="0"/>
          <w:bCs w:val="0"/>
          <w:sz w:val="28"/>
          <w:szCs w:val="28"/>
        </w:rPr>
        <w:t xml:space="preserve">гичной медицинской помощи – 101,3</w:t>
      </w:r>
      <w:r>
        <w:rPr>
          <w:b w:val="0"/>
          <w:bCs w:val="0"/>
          <w:sz w:val="28"/>
          <w:szCs w:val="28"/>
        </w:rPr>
        <w:t xml:space="preserve"> млн. рублей.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 предъявленным территориальными фондами ОМС других субъектов Российской Федерации счетам и реестрам, лицам, застрахованным на территории Липецкой области, медицинская помощь была оказана по следующим основным профилям:</w:t>
      </w:r>
      <w:r>
        <w:rPr>
          <w:b w:val="0"/>
          <w:bCs w:val="0"/>
        </w:rPr>
      </w:r>
    </w:p>
    <w:p>
      <w:pPr>
        <w:pStyle w:val="868"/>
        <w:ind w:left="0" w:firstLine="708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акушерство и гинекология – 2 412 случаев на сумму 19,9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т.ч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ЭКО - 31 случай на сумму 3,7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рублей);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офтальмология – 4 348 случаев на сумму 24,8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 рублей;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онкология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6 232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случая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сумму 309,4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 (в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т.ч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- </w:t>
      </w:r>
      <w:r>
        <w:rPr>
          <w:b w:val="0"/>
          <w:bCs w:val="0"/>
        </w:rPr>
      </w:r>
    </w:p>
    <w:p>
      <w:pPr>
        <w:pStyle w:val="868"/>
        <w:ind w:left="0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химиотерапия - 798 случаев на сумму 223,6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рублей);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кардиология – 1 122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случ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ая на сумму 14,7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инфекционные болезни - 612 случаев на сумму 11,8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неврология – 1 393 случая на сумму 15,1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рдечно-сосудистая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хирургия - 610 случаев на сумму 48,6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рублей;</w:t>
      </w:r>
      <w:r>
        <w:rPr>
          <w:b w:val="0"/>
          <w:bCs w:val="0"/>
        </w:rPr>
      </w:r>
    </w:p>
    <w:p>
      <w:pPr>
        <w:pStyle w:val="868"/>
        <w:ind w:left="709"/>
        <w:jc w:val="both"/>
        <w:spacing w:after="0" w:line="283" w:lineRule="atLeast"/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равматология и ортопедия – 2 754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случая на сумму 97,4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млн. рублей.</w:t>
      </w:r>
      <w:r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Расходы медицинских организаций за 9 месяцев 2023 года составили  12 621,0 млн. руб., что выше показателя прошлого года на 6,7% или 790,7 млн. руб. (11 830,3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.р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.), в том числе: 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   - на оплату труда с начислениями – 8453,6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.р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., что составляет 112,6% от уровня прошлого года (7507,4 млн. руб.);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  - оплата за медикаменты – 2301,6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.р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., что ниже уровня прошлого года (2642,9 млн. руб.); 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  - оплата за продукты питания – 152,8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.р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., что ниже показателя прошлого года на 1,9% (155,8 млн. руб.);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- расходы на арендную плату за пользование имуществом – 234,0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.р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., что выше уровня прошлого года на 26,3% (185,2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млн.руб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.). 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- оплата коммунальных услуг – 391,4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.р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., что выше уровня прошлого года на 12,7% (347,3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млн.руб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.). 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Таким образом, наибольшую долю в структуре расходов занимают расходы на заработную плату с начислениями – 67,0%, при этом темпы роста в сравнении с предыдущим периодом расходов на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 арендную плату за пользование имуществом и на оплату коммунальных услуг (соответственно 26,3% и 12,7%), превышают темпы роста по расходам на заработную плату с начислениями.</w:t>
      </w:r>
      <w:r>
        <w:rPr>
          <w:rFonts w:ascii="Times New Roman" w:hAnsi="Times New Roman" w:eastAsia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Средняя заработная плата работников государственных медицинских организаций Липецкой области в системе ОМС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2023 года составила 40,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рублей, что на 13,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% выше аналогичного показателя прошлого года (35,4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рублей) в том числе: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14,3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% и составила 42,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 (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2022 года – 37,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рублей);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в стационарном звене рост средней зарплаты медицинских работников составил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13,7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% -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52,44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 (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2022 года – 46,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рублей); 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в подразделениях скорой помощи средняя зарплата медицинских работников из средств ОМС составила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48,16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рублей, рост –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24,3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% (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2022 года – 38,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73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рублей).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отчетном периоде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средняя заработная плата по категориям персонала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сравнению с аналогичным периодом прошлого года сложилась следующим образом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: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- по врачебным кадрам средняя зарплата увеличилась на 12,4% и составила 74,70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 рублей (66,46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 рублей за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- по среднему медперсоналу рост средней зарплаты составил 15,4 % - 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39,97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(34,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62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 рублей за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- по младшему медицинскому персоналу средняя зарплата увеличилась на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13,9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% и составила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36,59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 рублей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(32,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12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 рублей за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- по прочему персоналу рост средней зарплаты составил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7,7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% - 24,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27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 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(22,5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 рублей за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- по АУП средняя зарплата увеличилась на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7,3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% и составила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62,14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рублей (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57,90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 рублей за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2022 года)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ванного страхового запаса, утвержден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31 824,4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тыс. рублей, в том числе на дополнительное профессиональное образовани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медицинских работников –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1301,8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рублей, на приобретение медицинского оборудования –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23 643,9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руб.,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проведение ремонта медицинского оборудования –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878,7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рублей. Подписаны соглашения с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медицинск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планом мероприятий,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медицинские организации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было перечислено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075,5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рублей, в том числе на дополнительное профессиональное образования медицинских работников –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976,6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рублей, на приобретение медицинского оборудования –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8 671,1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проведение ремонта медицинского оборудования –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4 427,8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8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основании распоряжения Правительства Российской Федерации от 08.12.2022 № 3798-р ТФОМС Липецкой области в целях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софинансирования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 предусмотрено на 2023 год денежных сре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дств в 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умме 34 608,9 тыс. рублей.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2023 года на данные цели направлено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21 187,1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рублей.</w:t>
      </w:r>
      <w:r>
        <w:rPr>
          <w:b w:val="0"/>
          <w:bCs w:val="0"/>
        </w:rPr>
      </w:r>
    </w:p>
    <w:p>
      <w:pPr>
        <w:ind w:firstLine="708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софинансирования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 было заключено 33 трехсторонних соглашения между ТФОМС Липецкой области, управлением здравоохранения Липецкой области и медицинскими организациями.</w:t>
      </w:r>
      <w:r>
        <w:rPr>
          <w:b w:val="0"/>
          <w:bCs w:val="0"/>
        </w:rPr>
      </w:r>
    </w:p>
    <w:p>
      <w:pPr>
        <w:ind w:firstLine="708"/>
        <w:jc w:val="both"/>
        <w:spacing w:after="0" w:line="283" w:lineRule="atLeas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9 месяцев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2023 года заявки на оплату труда врачей и среднего медицинского персонала из средств нормированного страхового запаса для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софинансирования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расходов медицинских организаций ежемесячно поступали от 33 медицинских организаций, из них 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медицински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показали прирост численности медицинских работников на общую сумму заработной платы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21 187,1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рублей. (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врачей 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средних медицинских работник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). </w:t>
      </w:r>
      <w:r>
        <w:rPr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426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  В план проверок на 9 месяцев 2023 года включены 34 медицинские организации и 2 страховые  медицинские организации.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За 9 месяцев 2023 года проведено 44 проверки, в том числе: в медицинских организациях - 34 плановые проверки;  в страховых медицинских организациях - 2 плановые комплексные проверки, и 8  внеплановых проверок.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Остаток не восстановленных средств ОМС по состоянию на 01.01.2023 составил 1 456,0 тыс. рублей.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         По итогам проверок за  9 месяцев 2023 года  в медицинских организациях  выявлено нецелевое использование средств обязательного медицинского страхования на сумму 4350,9   тыс. руб. (9 месяцев 2022года – 2728,4 тыс. руб.):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«В результате необоснованно запрошенных дополнительных сумм финансирования» - 13,0 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или 0,3%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2,7тыс. руб. –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средства  НСЗ направлены на повышение квалификации работников по темам, не связанным с реализацией программы ОМС;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10,3тыс.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из средств НСЗ в части </w:t>
      </w:r>
      <w:r>
        <w:rPr>
          <w:rFonts w:ascii="Times New Roman" w:hAnsi="Times New Roman" w:eastAsia="Calibri" w:cs="Times New Roman"/>
          <w:b w:val="0"/>
          <w:bCs w:val="0"/>
          <w:iCs/>
          <w:sz w:val="28"/>
          <w:szCs w:val="28"/>
          <w:lang w:eastAsia="ru-RU"/>
        </w:rPr>
        <w:t xml:space="preserve">софинансирования</w:t>
      </w:r>
      <w:r>
        <w:rPr>
          <w:rFonts w:ascii="Times New Roman" w:hAnsi="Times New Roman" w:eastAsia="Calibri" w:cs="Times New Roman"/>
          <w:b w:val="0"/>
          <w:bCs w:val="0"/>
          <w:iCs/>
          <w:sz w:val="28"/>
          <w:szCs w:val="28"/>
          <w:lang w:eastAsia="ru-RU"/>
        </w:rPr>
        <w:t xml:space="preserve"> расходов на оплату труда врачей и среднего медицинского персонала при формировании  заявки необоснованно завышена сумма.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«Оплата видов медицинской помощи, не включенных в территориальную программу ОМС» - 811,0тыс.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или 18,6%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- 220,9тыс. руб.-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обучение по темам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не связанным с оказанием медицинской помощи в рамках территориальной программы  ОМС: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- 79,9 тыс. руб. – поверка анализаторов алкоголя;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- 60,2 тыс. руб. – приобретение реактивов для медицинского освидетельствования на состояние наркотического опьянения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- 192, 2 тыс. руб. – оплата медицинской  помощи не застрахованным по ОМС гражданам (лица без определенного места жительства);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39,2 тыс. руб. – оплата за работу с ВИЧ инфицированными;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218,6 тыс. руб. – оплата труда врача – фтизиатра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 «Оплата расходов, не включенных в тарифы на оплату медицинской помощи в рамках территориальной программы ОМС»- 2228,9 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или 51,3 %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2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- 74,5тыс. руб. – работы по проведению капитального ремонта зданий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2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- 60,4 тыс. руб. – строительный контроль в рамках капитального ремонта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2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- 40,0 тыс. руб. – оплата штрафов за административные правонарушения;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2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- 48,7 тыс. руб. оплата расходов других регионов;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- 67,0  тыс. руб. -  проведение обследования строительных конструкций помещений, в которых планируется размещение тяжелого оборудования;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290,7тыс. руб. – выплата материальной помощи работникам медицинской организации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- 20,6 тыс. руб.  - оплата материальных запасов и услуг, не связанных с оказанием медицинской помощи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- 755,9 тыс. руб. -  приобретение оборудования стоимостью свыше 100,0 тыс. руб. за единицу;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- 25,0 тыс. руб. - премия по договору страхования недвижимого имущества;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- 846,1 тыс. руб. -  приобретение  и использование лекарственных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препаратов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не включенных в стандарты лечения.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«Финансирование структурных подразделений (служб) медицинских организаций, финансируемых из иных источников» -- 45,5 тыс. руб.,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или 1% от выявленной суммы нецелевого использования средств ОМС,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в том числе: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- 33,8 тыс. руб. – расходы на  приобретение оборудования для оказания медицинской помощи на платной основе;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- 11,7 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выплата премии  за оказание медицинской помощи на платной основе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«Расходование сре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дств св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ерх норм, установленных соответствующими  министерствами, ведомствами –855,4 тыс. руб.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или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19,7% от выявленной суммы нецелевого использования средств ОМС, в том числе: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- 849,1  тыс. руб. – выплаты стимулирующего характера с учетом начислений, произведенные с превышением установленных норм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- 6,3 тыс. руб. – выдача спецпитания за работу с вредными и опасными условиями труда, сверх фактически отработанного времени.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992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«Расходование  сре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дств пр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и отсутствии подтверждающих документов» -  397,1тыс. руб.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или 9,1% от выявленной   суммы нецелевого использования средств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ОМС: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- 389,8  тыс. руб.- выплата заработной платы, с учетом начислений, при отсутствии  сертификата специалиста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 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ind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 xml:space="preserve">- 7,3 тыс. руб. – списаны средства со счета без подтверждающих документов.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lang w:eastAsia="zh-CN"/>
        </w:rPr>
        <w:tab/>
        <w:t xml:space="preserve">Возвращено в бюджет ТФОМС Липецкой области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соответствии с требованиями Федерального закона от 29.11.2010 № 326-ФЗ «Об обязательном медицинском страховании в Российской Федерации» - 3131,2 тыс. руб. тыс. рублей.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ab/>
        <w:t xml:space="preserve">По состоянию на 01. 10.2023 остаток невосстановленных медицинскими организациями средств ОМС составляет 2675,7 тыс. рублей.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ab/>
        <w:t xml:space="preserve">Сумма предъявленных штрафов, пеней по результатам проверок деятельности страховых медицинских организаций и медицинских организаций в сфере обязательного медицинского страхования за 9 месяцев 2023 составила 599,3 тыс. рублей, в том числе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медицинским организациям – 566,3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страховым медицинским организациям – 33,0 тыс. рублей.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993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Остаток задолженности по штрафам по результатам проверок по состоянию  на 01.01.2023 года составлял 1 227,8 тыс. рублей.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Получено в отчетном периоде  штрафов, пеней по результатам проверок 971,8 тыс. рублей: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медицинским организациям – 938,8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страховым медицинским организациям – 33,0 тыс. рублей.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 состоянию на 01.10. 2023 года  задолженность по штрафам и пени – 855,3 тыс. рублей (медицинские организации – 745,8 тыс. рублей, страховые медицинские организации – 109,5 тыс. 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Отсутствие внутреннего контроля объемов, сроков, качества и условий предоставления медицинской помощи влияет на образование финансовых потерь в медицинских организациях.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contextualSpacing/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По результатам проведенных за 9 месяцев 2023  проверок медицинских организаций финансовые потери в результате частичной или полной неоплаты медицинской помощи составили 94514,37 тыс. рублей.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contextualSpacing/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В ходе контрольных мероприятий за 9 месяцев 2023 года были установлены нарушения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риведшие к неэффективному использованию средств ОМС на сумму 16099,0 тыс. рублей: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ind w:firstLine="992"/>
        <w:jc w:val="both"/>
        <w:spacing w:after="0" w:line="283" w:lineRule="atLeast"/>
        <w:tabs>
          <w:tab w:val="left" w:pos="426" w:leader="none"/>
        </w:tabs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zh-CN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– 15 730,8 тыс. рублей;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ind w:firstLine="709"/>
        <w:jc w:val="both"/>
        <w:spacing w:after="0" w:line="283" w:lineRule="atLeast"/>
        <w:tabs>
          <w:tab w:val="left" w:pos="426" w:leader="none"/>
        </w:tabs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zh-CN"/>
        </w:rPr>
        <w:t xml:space="preserve">- лекарственные средства с истекшим сроком годности, находящиеся в карантинной зоне или переданные на уничтожение – 368,2тыс. рублей.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ind w:firstLine="708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С целью исключения случаев неэффективного использования  денежных средств ОМС административно-управленческому составу медицинских организаций необходимо: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- в целях недопущения штрафных санкций по предписаниям страховых медицинских организаций усилить внутренний контроль объемов, сроков, качества и условий предоставления медицинской помощи;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- осуществлять в постоянном реж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Выявленные при проверках нарушения приводят к временному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  <w:t xml:space="preserve">Исключение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- снижению кредиторской задолженности.</w:t>
      </w:r>
      <w:r>
        <w:rPr>
          <w:rFonts w:ascii="Calibri" w:hAnsi="Calibri" w:eastAsia="Calibri" w:cs="Times New Roman"/>
          <w:b w:val="0"/>
          <w:bCs w:val="0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zh-CN"/>
        </w:rPr>
        <w:t xml:space="preserve">В целях недопущения неэффективного и нецелевого использования средств обязательного медицинского страхования по итогам проверок медицинским организациям рекомендовано осуществлять внутренний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zh-CN"/>
        </w:rPr>
        <w:t xml:space="preserve">контроль за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zh-CN"/>
        </w:rPr>
        <w:t xml:space="preserve"> соблюдением финансово-хозяйственной деятельности в соответствии с требованиями, установленными законодательством Российской Федерации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в течение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 месяцев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увеличилась 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5,6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раза, на 01.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.2023 составила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187 695,5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 рублей, на 01.01.2023 она составляла 33 741,1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мках контроля объемов, сроков, качества и условий оказания медицинской помощи, оказанной медицинскими организациями Липецкой области, специалистами СМО в отчетном периоде проводились экспертные мероприятия в соответствии с действующими нормативными актами.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 период январь-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сентябрь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2023 года подвергнуто экспертизам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42,4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тыс. страховых случа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медицинской помощи, оказанных гражданам, застрахованным на территории Липецкой области, в том числе в ходе плановых проверок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29,8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При проведении медико-экономиче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ских экспертиз (МЭЭ) за январь-сентябрь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2023 года было проанализировано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119,5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тыс. случаев оказания медицинской помощи, в том числе при целевых проверках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96,8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тыс. случаев.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результате МЭЭ были установлены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18,1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 нарушений (15%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от общего количества проверенных случаев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), отмечается увеличение количества дефектов в сравнении с аналогичным периодом 2022 года, когда данный показатель составлял 8%.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Количество нарушений по причине «непредставление первичной медицинской документации, подтверждающей факт оказания ЗЛ медицинской помощи», составило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7470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41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 от общего количества нарушений.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Количество нарушений по причине «несоответствие данных первичной медицинской документации данным реестра счетов», составило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4142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или 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2,9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 от общего количества нарушений.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Количество нарушений по причине «отсутствие в документации информированного добровольного согласия застрахованного лица на медицинское вмешательство», составило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5568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30,8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 от общего количества нарушений (за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квартал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2023 года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составило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25%).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ходе экспертиз  качества медицинской помощи (ЭКМП)  было проанализировано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22,9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тыс. случаев оказания медицинской помощи, в том числе при целевых проверках –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,8 тыс. случаев.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результате ЭКМП были установлены 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тыс. нарушений (3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%), отмечается увеличение в сравнении с аналогичным периодом 2022 года, когд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 данный показатель составлял 22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итогам МЭЭ и ЭКМП к медицинским организациям применены финансовые санкции в размере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39,8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млн. рублей (2022 год –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64,8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млн. рублей).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 9 месяцев 2023 года проведено 127 463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118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661 медико-экономического контроля, 7 955 медико-экономических экспертиз, 847 экспертиз качества медицинской помощи. По результатам контрольно-экспертных мероприятий выявлено 5 368 дефектов, в том числе 116 по страховым случаям с применением химиотерапии.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 период январь-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сентябрь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2023 года специалистами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ТФОМС Липецкой области и экспертами качества медицинской помощи, входящими в реестр экспертов качества медицинской помощи, привлекаемыми на договорной основе, проводились повторные медико-экономические экспертизы и  экспертизы качества медицинской помощи.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Количество страховых случаев, подвергшихся повторной МЭЭ, составило 1 707, количество страховых случаев, подвергшихся повторной ЭКМП, составило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1204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чт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 соответствует требованиям приказа ФФОМС от 19.03.2021 № 231н «Об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Установлены нарушения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случаях (2,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от общего количества проверенных случаев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), допущенные медицинскими организациями, но не выявленные СМО при первичном проведении экспертиз.  По итогам  повторных экспертиз к СМО применены штрафные санкций в размере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22830,51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рублей - 10% от суммы, необоснованно оплаченной медицинским организациям.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 январь-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сентябрь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2023 года ТФОМС и СМО было рассмотрено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81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621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обращени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 сравнении с аналогичным периодом 2022 года количество обращений увеличилось на 8,7 тыс.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Всего обращений за разъяснениями, в том числе заявлений,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81482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наибольшее количество по вопросам выбора и/или замены СМО, включение в единый регистр застрахованных, обеспечение выдачи полисов, о выдаче дубликата полиса ОМС -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72236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или 88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 от общего количества.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 период январь-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сентябрь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2023 года поступило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 жалоб или 0,2% от общего числа обращений; в 2022 году данный показатель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130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(0,2%).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Все жалобы рассмотрены в досудебном порядке, в установленные законом сроки, обоснованными признано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96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70,6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%), за аналогичный период  2022 года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жалоб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58,5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%) были признаны обоснованными.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Структура обоснованных жалоб по причинам сложилась следующим образом: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жалоб (2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%) на организацию работы медицинских организаций;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жалоб (5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%) на качество медицинской помощи;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жалобы (6%) на отказ в оказании медицинской помощи;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жалоб (1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%) на недостоверные сведения об оказанных медицинских услугах;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- 2 жалобы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%) - другие причины обоснованных жалоб.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872"/>
        <w:ind w:firstLine="700"/>
        <w:spacing w:before="0" w:line="283" w:lineRule="atLeast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  <w:t xml:space="preserve">С августа 2022 года страховыми </w:t>
      </w:r>
      <w:r>
        <w:rPr>
          <w:b w:val="0"/>
          <w:bCs w:val="0"/>
          <w:sz w:val="28"/>
          <w:szCs w:val="28"/>
        </w:rPr>
        <w:t xml:space="preserve">медицинскими организациями в соответствии с требованиями приказа Минздрава России от 19.07.2022 № 495 «Об утверждении методики расчета дополнительного показателя «Оценка общественного мнения по удовлетворенности населения медицинской помощью, %» федерально</w:t>
      </w:r>
      <w:r>
        <w:rPr>
          <w:b w:val="0"/>
          <w:bCs w:val="0"/>
          <w:sz w:val="28"/>
          <w:szCs w:val="28"/>
        </w:rPr>
        <w:t xml:space="preserve">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по каждому месяцу выше планового показателя, за 2 квартал 2023 он составил 5</w:t>
      </w:r>
      <w:r>
        <w:rPr>
          <w:b w:val="0"/>
          <w:bCs w:val="0"/>
          <w:sz w:val="28"/>
          <w:szCs w:val="28"/>
        </w:rPr>
        <w:t xml:space="preserve">6</w:t>
      </w:r>
      <w:r>
        <w:rPr>
          <w:b w:val="0"/>
          <w:bCs w:val="0"/>
          <w:sz w:val="28"/>
          <w:szCs w:val="28"/>
        </w:rPr>
        <w:t xml:space="preserve">,</w:t>
      </w:r>
      <w:r>
        <w:rPr>
          <w:b w:val="0"/>
          <w:bCs w:val="0"/>
          <w:sz w:val="28"/>
          <w:szCs w:val="28"/>
        </w:rPr>
        <w:t xml:space="preserve">3</w:t>
      </w:r>
      <w:r>
        <w:rPr>
          <w:b w:val="0"/>
          <w:bCs w:val="0"/>
          <w:sz w:val="28"/>
          <w:szCs w:val="28"/>
        </w:rPr>
        <w:t xml:space="preserve">% (плановый показатель 4</w:t>
      </w:r>
      <w:r>
        <w:rPr>
          <w:b w:val="0"/>
          <w:bCs w:val="0"/>
          <w:sz w:val="28"/>
          <w:szCs w:val="28"/>
        </w:rPr>
        <w:t xml:space="preserve">9,7</w:t>
      </w:r>
      <w:r>
        <w:rPr>
          <w:b w:val="0"/>
          <w:bCs w:val="0"/>
          <w:sz w:val="28"/>
          <w:szCs w:val="28"/>
        </w:rPr>
        <w:t xml:space="preserve">%).</w:t>
      </w:r>
      <w:r>
        <w:rPr>
          <w:b w:val="0"/>
          <w:bCs w:val="0"/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850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5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1" w:default="1">
    <w:name w:val="Normal"/>
    <w:qFormat/>
  </w:style>
  <w:style w:type="paragraph" w:styleId="672">
    <w:name w:val="Heading 1"/>
    <w:basedOn w:val="671"/>
    <w:next w:val="671"/>
    <w:link w:val="70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3">
    <w:name w:val="Heading 2"/>
    <w:basedOn w:val="671"/>
    <w:next w:val="671"/>
    <w:link w:val="876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74">
    <w:name w:val="Heading 3"/>
    <w:basedOn w:val="671"/>
    <w:next w:val="671"/>
    <w:link w:val="70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basedOn w:val="671"/>
    <w:next w:val="671"/>
    <w:link w:val="7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70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70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8">
    <w:name w:val="Heading 7"/>
    <w:basedOn w:val="671"/>
    <w:next w:val="671"/>
    <w:link w:val="70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9">
    <w:name w:val="Heading 8"/>
    <w:basedOn w:val="671"/>
    <w:next w:val="671"/>
    <w:link w:val="70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0">
    <w:name w:val="Heading 9"/>
    <w:basedOn w:val="671"/>
    <w:next w:val="671"/>
    <w:link w:val="70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Heading 1 Char"/>
    <w:basedOn w:val="681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Heading 3 Char"/>
    <w:basedOn w:val="681"/>
    <w:uiPriority w:val="9"/>
    <w:rPr>
      <w:rFonts w:ascii="Arial" w:hAnsi="Arial" w:eastAsia="Arial" w:cs="Arial"/>
      <w:sz w:val="30"/>
      <w:szCs w:val="30"/>
    </w:rPr>
  </w:style>
  <w:style w:type="character" w:styleId="686" w:customStyle="1">
    <w:name w:val="Heading 4 Char"/>
    <w:basedOn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87" w:customStyle="1">
    <w:name w:val="Heading 5 Char"/>
    <w:basedOn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88" w:customStyle="1">
    <w:name w:val="Heading 6 Char"/>
    <w:basedOn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689" w:customStyle="1">
    <w:name w:val="Heading 7 Char"/>
    <w:basedOn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0" w:customStyle="1">
    <w:name w:val="Heading 8 Char"/>
    <w:basedOn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691" w:customStyle="1">
    <w:name w:val="Heading 9 Char"/>
    <w:basedOn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92" w:customStyle="1">
    <w:name w:val="Title Char"/>
    <w:basedOn w:val="681"/>
    <w:uiPriority w:val="10"/>
    <w:rPr>
      <w:sz w:val="48"/>
      <w:szCs w:val="48"/>
    </w:rPr>
  </w:style>
  <w:style w:type="character" w:styleId="693" w:customStyle="1">
    <w:name w:val="Subtitle Char"/>
    <w:basedOn w:val="681"/>
    <w:uiPriority w:val="11"/>
    <w:rPr>
      <w:sz w:val="24"/>
      <w:szCs w:val="24"/>
    </w:rPr>
  </w:style>
  <w:style w:type="character" w:styleId="694" w:customStyle="1">
    <w:name w:val="Quote Char"/>
    <w:uiPriority w:val="29"/>
    <w:rPr>
      <w:i/>
    </w:rPr>
  </w:style>
  <w:style w:type="character" w:styleId="695" w:customStyle="1">
    <w:name w:val="Intense Quote Char"/>
    <w:uiPriority w:val="30"/>
    <w:rPr>
      <w:i/>
    </w:rPr>
  </w:style>
  <w:style w:type="character" w:styleId="696" w:customStyle="1">
    <w:name w:val="Header Char"/>
    <w:basedOn w:val="681"/>
    <w:uiPriority w:val="99"/>
  </w:style>
  <w:style w:type="character" w:styleId="697" w:customStyle="1">
    <w:name w:val="Caption Char"/>
    <w:uiPriority w:val="99"/>
  </w:style>
  <w:style w:type="character" w:styleId="698" w:customStyle="1">
    <w:name w:val="Footnote Text Char"/>
    <w:uiPriority w:val="99"/>
    <w:rPr>
      <w:sz w:val="18"/>
    </w:rPr>
  </w:style>
  <w:style w:type="character" w:styleId="699" w:customStyle="1">
    <w:name w:val="Endnote Text Char"/>
    <w:uiPriority w:val="99"/>
    <w:rPr>
      <w:sz w:val="20"/>
    </w:rPr>
  </w:style>
  <w:style w:type="character" w:styleId="700" w:customStyle="1">
    <w:name w:val="Заголовок 1 Знак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Heading 2 Char"/>
    <w:basedOn w:val="681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Title"/>
    <w:basedOn w:val="671"/>
    <w:next w:val="671"/>
    <w:link w:val="710"/>
    <w:uiPriority w:val="10"/>
    <w:qFormat/>
    <w:pPr>
      <w:contextualSpacing/>
      <w:spacing w:before="300"/>
    </w:pPr>
    <w:rPr>
      <w:sz w:val="48"/>
      <w:szCs w:val="48"/>
    </w:rPr>
  </w:style>
  <w:style w:type="character" w:styleId="710" w:customStyle="1">
    <w:name w:val="Название Знак"/>
    <w:basedOn w:val="681"/>
    <w:link w:val="709"/>
    <w:uiPriority w:val="10"/>
    <w:rPr>
      <w:sz w:val="48"/>
      <w:szCs w:val="48"/>
    </w:rPr>
  </w:style>
  <w:style w:type="paragraph" w:styleId="711">
    <w:name w:val="Subtitle"/>
    <w:basedOn w:val="671"/>
    <w:next w:val="671"/>
    <w:link w:val="712"/>
    <w:uiPriority w:val="11"/>
    <w:qFormat/>
    <w:pPr>
      <w:spacing w:before="200"/>
    </w:pPr>
    <w:rPr>
      <w:sz w:val="24"/>
      <w:szCs w:val="24"/>
    </w:rPr>
  </w:style>
  <w:style w:type="character" w:styleId="712" w:customStyle="1">
    <w:name w:val="Подзаголовок Знак"/>
    <w:basedOn w:val="681"/>
    <w:link w:val="711"/>
    <w:uiPriority w:val="11"/>
    <w:rPr>
      <w:sz w:val="24"/>
      <w:szCs w:val="24"/>
    </w:rPr>
  </w:style>
  <w:style w:type="paragraph" w:styleId="713">
    <w:name w:val="Quote"/>
    <w:basedOn w:val="671"/>
    <w:next w:val="671"/>
    <w:link w:val="714"/>
    <w:uiPriority w:val="29"/>
    <w:qFormat/>
    <w:pPr>
      <w:ind w:left="720" w:right="720"/>
    </w:pPr>
    <w:rPr>
      <w:i/>
    </w:rPr>
  </w:style>
  <w:style w:type="character" w:styleId="714" w:customStyle="1">
    <w:name w:val="Цитата 2 Знак"/>
    <w:link w:val="713"/>
    <w:uiPriority w:val="29"/>
    <w:rPr>
      <w:i/>
    </w:rPr>
  </w:style>
  <w:style w:type="paragraph" w:styleId="715">
    <w:name w:val="Intense Quote"/>
    <w:basedOn w:val="671"/>
    <w:next w:val="671"/>
    <w:link w:val="7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 w:customStyle="1">
    <w:name w:val="Выделенная цитата Знак"/>
    <w:link w:val="715"/>
    <w:uiPriority w:val="30"/>
    <w:rPr>
      <w:i/>
    </w:rPr>
  </w:style>
  <w:style w:type="paragraph" w:styleId="717">
    <w:name w:val="Header"/>
    <w:basedOn w:val="671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Верхний колонтитул Знак"/>
    <w:basedOn w:val="681"/>
    <w:link w:val="717"/>
    <w:uiPriority w:val="99"/>
  </w:style>
  <w:style w:type="paragraph" w:styleId="719">
    <w:name w:val="Footer"/>
    <w:basedOn w:val="671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Footer Char"/>
    <w:basedOn w:val="681"/>
    <w:uiPriority w:val="99"/>
  </w:style>
  <w:style w:type="paragraph" w:styleId="721">
    <w:name w:val="Caption"/>
    <w:basedOn w:val="671"/>
    <w:next w:val="67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2" w:customStyle="1">
    <w:name w:val="Нижний колонтитул Знак"/>
    <w:link w:val="719"/>
    <w:uiPriority w:val="99"/>
  </w:style>
  <w:style w:type="table" w:styleId="723">
    <w:name w:val="Table Grid"/>
    <w:basedOn w:val="68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4" w:customStyle="1">
    <w:name w:val="Table Grid Light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5" w:customStyle="1">
    <w:name w:val="Plain Table 1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 w:customStyle="1">
    <w:name w:val="Plain Table 2"/>
    <w:basedOn w:val="68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 w:customStyle="1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 w:customStyle="1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3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4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5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6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7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8" w:customStyle="1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6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7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8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9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0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1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3" w:customStyle="1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5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6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7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8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9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0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1" w:customStyle="1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0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1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2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3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4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5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7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8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9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0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1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2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3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4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5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6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7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8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9">
    <w:name w:val="footnote text"/>
    <w:basedOn w:val="671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 w:customStyle="1">
    <w:name w:val="Текст сноски Знак"/>
    <w:link w:val="849"/>
    <w:uiPriority w:val="99"/>
    <w:rPr>
      <w:sz w:val="18"/>
    </w:rPr>
  </w:style>
  <w:style w:type="character" w:styleId="851">
    <w:name w:val="footnote reference"/>
    <w:basedOn w:val="681"/>
    <w:uiPriority w:val="99"/>
    <w:unhideWhenUsed/>
    <w:rPr>
      <w:vertAlign w:val="superscript"/>
    </w:rPr>
  </w:style>
  <w:style w:type="paragraph" w:styleId="852">
    <w:name w:val="endnote text"/>
    <w:basedOn w:val="671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 w:customStyle="1">
    <w:name w:val="Текст концевой сноски Знак"/>
    <w:link w:val="852"/>
    <w:uiPriority w:val="99"/>
    <w:rPr>
      <w:sz w:val="20"/>
    </w:rPr>
  </w:style>
  <w:style w:type="character" w:styleId="854">
    <w:name w:val="endnote reference"/>
    <w:basedOn w:val="681"/>
    <w:uiPriority w:val="99"/>
    <w:semiHidden/>
    <w:unhideWhenUsed/>
    <w:rPr>
      <w:vertAlign w:val="superscript"/>
    </w:rPr>
  </w:style>
  <w:style w:type="paragraph" w:styleId="855">
    <w:name w:val="toc 1"/>
    <w:basedOn w:val="671"/>
    <w:next w:val="671"/>
    <w:uiPriority w:val="39"/>
    <w:unhideWhenUsed/>
    <w:pPr>
      <w:spacing w:after="57"/>
    </w:pPr>
  </w:style>
  <w:style w:type="paragraph" w:styleId="856">
    <w:name w:val="toc 2"/>
    <w:basedOn w:val="671"/>
    <w:next w:val="671"/>
    <w:uiPriority w:val="39"/>
    <w:unhideWhenUsed/>
    <w:pPr>
      <w:ind w:left="283"/>
      <w:spacing w:after="57"/>
    </w:pPr>
  </w:style>
  <w:style w:type="paragraph" w:styleId="857">
    <w:name w:val="toc 3"/>
    <w:basedOn w:val="671"/>
    <w:next w:val="671"/>
    <w:uiPriority w:val="39"/>
    <w:unhideWhenUsed/>
    <w:pPr>
      <w:ind w:left="567"/>
      <w:spacing w:after="57"/>
    </w:pPr>
  </w:style>
  <w:style w:type="paragraph" w:styleId="858">
    <w:name w:val="toc 4"/>
    <w:basedOn w:val="671"/>
    <w:next w:val="671"/>
    <w:uiPriority w:val="39"/>
    <w:unhideWhenUsed/>
    <w:pPr>
      <w:ind w:left="850"/>
      <w:spacing w:after="57"/>
    </w:pPr>
  </w:style>
  <w:style w:type="paragraph" w:styleId="859">
    <w:name w:val="toc 5"/>
    <w:basedOn w:val="671"/>
    <w:next w:val="671"/>
    <w:uiPriority w:val="39"/>
    <w:unhideWhenUsed/>
    <w:pPr>
      <w:ind w:left="1134"/>
      <w:spacing w:after="57"/>
    </w:pPr>
  </w:style>
  <w:style w:type="paragraph" w:styleId="860">
    <w:name w:val="toc 6"/>
    <w:basedOn w:val="671"/>
    <w:next w:val="671"/>
    <w:uiPriority w:val="39"/>
    <w:unhideWhenUsed/>
    <w:pPr>
      <w:ind w:left="1417"/>
      <w:spacing w:after="57"/>
    </w:pPr>
  </w:style>
  <w:style w:type="paragraph" w:styleId="861">
    <w:name w:val="toc 7"/>
    <w:basedOn w:val="671"/>
    <w:next w:val="671"/>
    <w:uiPriority w:val="39"/>
    <w:unhideWhenUsed/>
    <w:pPr>
      <w:ind w:left="1701"/>
      <w:spacing w:after="57"/>
    </w:pPr>
  </w:style>
  <w:style w:type="paragraph" w:styleId="862">
    <w:name w:val="toc 8"/>
    <w:basedOn w:val="671"/>
    <w:next w:val="671"/>
    <w:uiPriority w:val="39"/>
    <w:unhideWhenUsed/>
    <w:pPr>
      <w:ind w:left="1984"/>
      <w:spacing w:after="57"/>
    </w:pPr>
  </w:style>
  <w:style w:type="paragraph" w:styleId="863">
    <w:name w:val="toc 9"/>
    <w:basedOn w:val="671"/>
    <w:next w:val="671"/>
    <w:uiPriority w:val="39"/>
    <w:unhideWhenUsed/>
    <w:pPr>
      <w:ind w:left="2268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671"/>
    <w:next w:val="671"/>
    <w:uiPriority w:val="99"/>
    <w:unhideWhenUsed/>
    <w:pPr>
      <w:spacing w:after="0"/>
    </w:pPr>
  </w:style>
  <w:style w:type="paragraph" w:styleId="866">
    <w:name w:val="Body Text"/>
    <w:basedOn w:val="671"/>
    <w:link w:val="867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867" w:customStyle="1">
    <w:name w:val="Основной текст Знак"/>
    <w:basedOn w:val="681"/>
    <w:link w:val="866"/>
    <w:rPr>
      <w:rFonts w:ascii="Times New Roman" w:hAnsi="Times New Roman" w:eastAsia="Times New Roman" w:cs="Times New Roman"/>
      <w:sz w:val="20"/>
      <w:szCs w:val="20"/>
    </w:rPr>
  </w:style>
  <w:style w:type="paragraph" w:styleId="868">
    <w:name w:val="List Paragraph"/>
    <w:basedOn w:val="671"/>
    <w:uiPriority w:val="34"/>
    <w:qFormat/>
    <w:pPr>
      <w:contextualSpacing/>
      <w:ind w:left="720"/>
    </w:pPr>
  </w:style>
  <w:style w:type="paragraph" w:styleId="869">
    <w:name w:val="Balloon Text"/>
    <w:basedOn w:val="671"/>
    <w:link w:val="87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0" w:customStyle="1">
    <w:name w:val="Текст выноски Знак"/>
    <w:basedOn w:val="681"/>
    <w:link w:val="869"/>
    <w:uiPriority w:val="99"/>
    <w:semiHidden/>
    <w:rPr>
      <w:rFonts w:ascii="Tahoma" w:hAnsi="Tahoma" w:cs="Tahoma"/>
      <w:sz w:val="16"/>
      <w:szCs w:val="16"/>
    </w:rPr>
  </w:style>
  <w:style w:type="character" w:styleId="871" w:customStyle="1">
    <w:name w:val="Основной текст_"/>
    <w:link w:val="872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styleId="872" w:customStyle="1">
    <w:name w:val="Основной текст2"/>
    <w:basedOn w:val="671"/>
    <w:link w:val="871"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873">
    <w:name w:val="Normal (Web)"/>
    <w:basedOn w:val="67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4">
    <w:name w:val="No Spacing"/>
    <w:uiPriority w:val="1"/>
    <w:qFormat/>
    <w:pPr>
      <w:spacing w:after="0" w:line="240" w:lineRule="auto"/>
    </w:pPr>
  </w:style>
  <w:style w:type="character" w:styleId="875">
    <w:name w:val="Hyperlink"/>
    <w:basedOn w:val="681"/>
    <w:uiPriority w:val="99"/>
    <w:semiHidden/>
    <w:unhideWhenUsed/>
    <w:rPr>
      <w:color w:val="0000ff"/>
      <w:u w:val="single"/>
    </w:rPr>
  </w:style>
  <w:style w:type="character" w:styleId="876" w:customStyle="1">
    <w:name w:val="Заголовок 2 Знак"/>
    <w:basedOn w:val="681"/>
    <w:link w:val="67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77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FBF1A-20D1-48AB-9552-A5F94B5CD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Ражина</dc:creator>
  <cp:lastModifiedBy>konovalenkoan</cp:lastModifiedBy>
  <cp:revision>128</cp:revision>
  <dcterms:created xsi:type="dcterms:W3CDTF">2022-09-15T06:40:00Z</dcterms:created>
  <dcterms:modified xsi:type="dcterms:W3CDTF">2025-01-20T05:27:24Z</dcterms:modified>
</cp:coreProperties>
</file>