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I полугодие 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период январь-июнь 2024 года доходы бюджета территориального фонда ОМС сложились в размере 10 918,3 млн. рублей, что составляет 100% от утвержденных бюджетных назначений и 119,4% к доходам аналогичного периода 2023 года (9 145,9 млн. рублей).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бюджет территориального фонда обязательного медицинского страхования Липецкой области за этот период поступило сре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дств в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иде: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10 002,8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2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</w:t>
      </w:r>
      <w:r>
        <w:rPr>
          <w:sz w:val="28"/>
          <w:szCs w:val="28"/>
          <w:highlight w:val="none"/>
        </w:rPr>
        <w:t xml:space="preserve">ных базовой программой обязательного медицинского страхования, в размере 90,5 млн. рублей. Из областного бюджета дополнительно поступили МБТ на финансовое обеспечение медицинской помощи в части базовой программы ОМС (на онкологию и обеспечение доступности</w:t>
      </w:r>
      <w:r>
        <w:rPr>
          <w:sz w:val="28"/>
          <w:szCs w:val="28"/>
          <w:highlight w:val="none"/>
        </w:rPr>
        <w:t xml:space="preserve"> медицинской помощи</w:t>
      </w:r>
      <w:r>
        <w:rPr>
          <w:sz w:val="28"/>
          <w:szCs w:val="28"/>
          <w:highlight w:val="none"/>
        </w:rPr>
        <w:t xml:space="preserve">) в сумме 630,6 млн. рублей.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сопоставимых вышеуказанных доходов фонда для финансового обеспечения реализации территориальной программы ОМС в 1 полугодии 2024 года составил 1 720,0 млн. рублей или 119,1%.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В рамках выполнения территориал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ьно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й программы ОМС за 6 месяцев текущего года медицинскими организациями предъявлено на оплату медицинской помощи в объеме 9 623,7 млн. рублей, что составляет 99,7% от утвержденной стоимости программы и 114,0% к аналогичному показателю прошлого года (8 444,0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млн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. р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уб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лей), в том числе: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892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амбулаторной медицинской помощи утверждена в сумме 3 940,1 млн. рублей, фактическое выполнение составило – 3 884,9 млн. рублей или 98,6% от утвержденной и 122,2% к соответствующему показателю прошлого года (3 180,1 млн. рублей);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стационарной медицинской помощи утверждена в сумме 4 124,2 млн. рублей, фактическое выполнение составило 4 149,3 млн. рублей или 100,6% от утвержденной и 107,0% к аналогичному показателю прошлого года (3 876,1 </w:t>
      </w:r>
      <w:r>
        <w:rPr>
          <w:sz w:val="28"/>
          <w:szCs w:val="28"/>
          <w:highlight w:val="none"/>
        </w:rPr>
        <w:t xml:space="preserve">млн</w:t>
      </w:r>
      <w:r>
        <w:rPr>
          <w:sz w:val="28"/>
          <w:szCs w:val="28"/>
          <w:highlight w:val="none"/>
        </w:rPr>
        <w:t xml:space="preserve">. р</w:t>
      </w:r>
      <w:r>
        <w:rPr>
          <w:sz w:val="28"/>
          <w:szCs w:val="28"/>
          <w:highlight w:val="none"/>
        </w:rPr>
        <w:t xml:space="preserve">уб</w:t>
      </w:r>
      <w:r>
        <w:rPr>
          <w:sz w:val="28"/>
          <w:szCs w:val="28"/>
          <w:highlight w:val="none"/>
        </w:rPr>
        <w:t xml:space="preserve">лей);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медицинской помощи в условиях дневного стационара утверждена в сумме 991,1 млн. рублей, фактически выполнено – 1 085,5 млн. рублей или 109,5% от утвержденной стоимости и 119,3% к соответствующему показателю 2023 года (910,2 млн. рублей);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скорой медицинской помощи утверждена в сумме 599,7 млн. </w:t>
      </w:r>
      <w:r>
        <w:rPr>
          <w:sz w:val="28"/>
          <w:szCs w:val="28"/>
          <w:highlight w:val="none"/>
        </w:rPr>
        <w:t xml:space="preserve">рублей, фактически выполнено – 504,0 млн. рублей или 84,0% </w:t>
      </w:r>
      <w:r>
        <w:rPr>
          <w:sz w:val="28"/>
          <w:szCs w:val="28"/>
          <w:highlight w:val="none"/>
        </w:rPr>
        <w:t xml:space="preserve">от</w:t>
      </w:r>
      <w:r>
        <w:rPr>
          <w:sz w:val="28"/>
          <w:szCs w:val="28"/>
          <w:highlight w:val="none"/>
        </w:rPr>
        <w:t xml:space="preserve"> утвержденной и 105,5% к соответствующему показателю прошлого года (477,6 </w:t>
      </w:r>
      <w:r>
        <w:rPr>
          <w:sz w:val="28"/>
          <w:szCs w:val="28"/>
          <w:highlight w:val="none"/>
        </w:rPr>
        <w:t xml:space="preserve">млн</w:t>
      </w:r>
      <w:r>
        <w:rPr>
          <w:sz w:val="28"/>
          <w:szCs w:val="28"/>
          <w:highlight w:val="none"/>
        </w:rPr>
        <w:t xml:space="preserve">. р</w:t>
      </w:r>
      <w:r>
        <w:rPr>
          <w:sz w:val="28"/>
          <w:szCs w:val="28"/>
          <w:highlight w:val="none"/>
        </w:rPr>
        <w:t xml:space="preserve">уб</w:t>
      </w:r>
      <w:r>
        <w:rPr>
          <w:sz w:val="28"/>
          <w:szCs w:val="28"/>
          <w:highlight w:val="none"/>
        </w:rPr>
        <w:t xml:space="preserve">лей).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в 1 полугодии 2024 года: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стационарной медицинской помощи в целом – на 106,8%;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амбулаторной медицинской помощи в неотложной форме – на 88,5%, или на 106,4% к уровню прошлого года; по обращениям по поводу заболеваний – на 104,4%;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по медицинской помощи, оказанной в условиях дневного стационара - на 92,0%;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по скорой медицинской помощи – на 83,9%, или на 94,9% к уровню аналогичного показателя прошлого года.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                       (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  <w:t xml:space="preserve">информация без МТР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Стоимость специализированной медицинской помощи, пациентам со злокачественными новообразованиями (ЗНО), застрахованным на территории Липецкой области за I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2024 года составила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1 174,7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10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% от запланированной сум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мы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49,9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), в том числе в стационарных условиях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603,1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рублей, в условиях дневного стационара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571,6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Таки образом, с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редняя стоимость 1 случая специализированного лечения пациентов с ЗНО за отчетный период составила в целом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69,2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тыс. рублей, в стационарных условиях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63,3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тыс. рублей, в условиях дневного стационара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–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92,7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тыс. рублей.</w:t>
      </w:r>
      <w:bookmarkStart w:id="0" w:name="undefined"/>
      <w:r>
        <w:rPr>
          <w:highlight w:val="non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Стоимость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химиотерапии, проведенной пациентам с ЗНО в I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полугодии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2024 года составила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880,3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рублей, в том числе в стационарных условиях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346,2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рублей, в условиях дневного стационара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534,1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структуре объема оказанной медицинской помощи удельный вес химиотерапии составил 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%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13 400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госпитализаций), в том числе в стационарных условиях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70,5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%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6 866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госпитализаций), в условиях дневного стационара –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90,5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%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6 534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госпитализаци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результате п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роведенного медико-экономического контроля по пункту дефекта 1.6.3 (предъявление к оплате медицинской помощи сверх распределенного объема предоставления медицинской помощи, установленного решением комиссии по разработке территориальной программы ОМС) за I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2024 года от оплаты отклонено 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случаев лечения 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условиях дневного с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тационар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4,6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pStyle w:val="90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взрослого населения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установлен в размере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226 767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человек. Фактически осмотрено в рамках диспансеризации –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235 396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 или 10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 от утвержденного плана.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Предъявлено счетов к оплате за проведенную диспансеризацию в рамках 1 и 2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этапов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734 566,1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оплачено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734 496,0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рублей. Из 30 медицинских организаций, проводивших диспансеризацию взрослого населения, не выполнили установленный план –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в том числе: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больница № 3 «Свободный Сокол» -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57,0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%;</w:t>
      </w:r>
      <w:r>
        <w:rPr>
          <w:highlight w:val="none"/>
        </w:rPr>
      </w:r>
      <w:r>
        <w:rPr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«Краснинская районная больница» – 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7,7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профилактических медицинских осмотров взрослого населения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установлен в размере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77 912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человека. Фактически осмотрено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67 757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107 488,4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что составило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87,0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% от утвержденного плана. Из 30 медицинских организаций, проводивших профилактические медицинские осмотры взрослого населения, не выполнили установленный план –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поликлиника № 7» -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56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больница № 3 «Свободный Сокол» - 2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%;</w:t>
      </w:r>
      <w:r>
        <w:rPr>
          <w:highlight w:val="none"/>
        </w:rPr>
      </w:r>
      <w:r>
        <w:rPr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Воловская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–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%;</w:t>
      </w:r>
      <w:r>
        <w:rPr>
          <w:highlight w:val="none"/>
        </w:rPr>
      </w:r>
      <w:r>
        <w:rPr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«Краснинская РБ» – 31%.</w:t>
      </w:r>
      <w:r>
        <w:rPr>
          <w:highlight w:val="none"/>
        </w:rPr>
      </w:r>
      <w:r>
        <w:rPr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профилактических медицинских осмотров несовершеннолетних на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установлен в размере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126 550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человек. Фактически осмотрено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126 017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387 304,1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что составило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99,6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 от утвержденного плана. Из 23 медицинских организаций, проводивших профилактические медицинские осмотры несовершеннолетних, не выполнили установленный план -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900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детей-сирот, усыновленных и принятых под опеку, 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составил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833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человек. Фактически осмотрено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814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3 525,6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что составило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98,0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 от утвержденного плана.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Из 23 медицинских организаций, проводивших диспансеризации детей-сирот, усыновленных и принятых под опеку, не выполнили установленный план - 4.</w:t>
      </w:r>
      <w:r>
        <w:rPr>
          <w:highlight w:val="none"/>
        </w:rPr>
      </w:r>
      <w:r>
        <w:rPr>
          <w:highlight w:val="none"/>
        </w:rPr>
      </w:r>
    </w:p>
    <w:p>
      <w:pPr>
        <w:pStyle w:val="900"/>
        <w:ind w:firstLine="709"/>
        <w:jc w:val="both"/>
        <w:spacing w:line="283" w:lineRule="atLeast"/>
        <w:tabs>
          <w:tab w:val="left" w:pos="6397" w:leader="none"/>
        </w:tabs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детей-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сирот, пребывающих в стационарных учреждениях 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составил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669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человек. Фактически осмотрено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716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человек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3 678,3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что составило 10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 от утвержденного плана.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Число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пациентов, подлежащих диспансерному наблюдению за отчетный период составило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112 581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человек. Прошли диспансерное наблюдение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119 246 человека или 106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% от планового показателя. Всего оплачено реестров счетов в рамках диспансерного наблюдения за I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полугодие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2024 года на сумму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365,9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полугодие 2024 года медицинскими организациями Липецкой области предъявлено и оплачено счетов и реестров счетов за оказанную медицинскую помощь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14 220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пациентам, застрахованным на других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территориях РФ на общую сумму 189,8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Медицинскими организациями Липецкой области иногородним пациентам оказана медицинская помощь по следующим основным профилям: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акушерство и гинекология – 1 714 случаев на сумму 11,9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кардиология – 506 случаев на сумму 11,8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нефрология – 516 случаев на сумму 4,4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неврология –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1 289 случаев на сумму 11,3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0"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онкология - 332 случая на сумму 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,0 млн.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химиотерапия - 81 случай на сумму 4,5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офтальмология – 4 096 случаев на сумму 60,7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 травматология и ортопедия – 1 462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случая на су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мму 7,8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урология – 376 случаев на сумму 4,1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 рублей.</w:t>
      </w:r>
      <w:r>
        <w:rPr>
          <w:highlight w:val="none"/>
        </w:rPr>
      </w:r>
      <w:r>
        <w:rPr>
          <w:highlight w:val="none"/>
        </w:rPr>
      </w:r>
    </w:p>
    <w:p>
      <w:pPr>
        <w:pStyle w:val="892"/>
        <w:ind w:firstLine="709"/>
        <w:jc w:val="both"/>
        <w:spacing w:after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</w:t>
      </w:r>
      <w:r>
        <w:rPr>
          <w:sz w:val="28"/>
          <w:szCs w:val="28"/>
          <w:highlight w:val="none"/>
          <w:lang w:val="en-US"/>
        </w:rPr>
        <w:t xml:space="preserve">I</w:t>
      </w:r>
      <w:r>
        <w:rPr>
          <w:sz w:val="28"/>
          <w:szCs w:val="28"/>
          <w:highlight w:val="none"/>
        </w:rPr>
        <w:t xml:space="preserve"> полугодие 2024 года территориальными фондами ОМС других субъектов РФ предъявлено счетов и реестров счетов за ока</w:t>
      </w:r>
      <w:r>
        <w:rPr>
          <w:sz w:val="28"/>
          <w:szCs w:val="28"/>
          <w:highlight w:val="none"/>
        </w:rPr>
        <w:t xml:space="preserve">занную медицинскую помощь 15 398</w:t>
      </w:r>
      <w:r>
        <w:rPr>
          <w:sz w:val="28"/>
          <w:szCs w:val="28"/>
          <w:highlight w:val="none"/>
        </w:rPr>
        <w:t xml:space="preserve"> пациентам, застрахованным на территории Лип</w:t>
      </w:r>
      <w:r>
        <w:rPr>
          <w:sz w:val="28"/>
          <w:szCs w:val="28"/>
          <w:highlight w:val="none"/>
        </w:rPr>
        <w:t xml:space="preserve">ецкой области на общую сумму 548,8</w:t>
      </w:r>
      <w:r>
        <w:rPr>
          <w:sz w:val="28"/>
          <w:szCs w:val="28"/>
          <w:highlight w:val="none"/>
        </w:rPr>
        <w:t xml:space="preserve"> млн. рублей, </w:t>
      </w:r>
      <w:r>
        <w:rPr>
          <w:sz w:val="28"/>
          <w:szCs w:val="28"/>
          <w:highlight w:val="none"/>
        </w:rPr>
        <w:t xml:space="preserve">в том числе высокотехнологичной медицинской помощи – 96,8 млн. рублей.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ind w:firstLine="709"/>
        <w:jc w:val="both"/>
        <w:spacing w:after="0" w:line="283" w:lineRule="atLeast"/>
        <w:rPr>
          <w:highlight w:val="none"/>
        </w:rPr>
      </w:pPr>
      <w:r>
        <w:rPr>
          <w:sz w:val="28"/>
          <w:szCs w:val="28"/>
          <w:highlight w:val="none"/>
        </w:rPr>
        <w:t xml:space="preserve">ТФОМС Липецкой области </w:t>
      </w:r>
      <w:r>
        <w:rPr>
          <w:sz w:val="28"/>
          <w:szCs w:val="28"/>
          <w:highlight w:val="none"/>
        </w:rPr>
        <w:t xml:space="preserve">за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  <w:lang w:val="en-US"/>
        </w:rPr>
        <w:t xml:space="preserve">I</w:t>
      </w:r>
      <w:r>
        <w:rPr>
          <w:sz w:val="28"/>
          <w:szCs w:val="28"/>
          <w:highlight w:val="none"/>
        </w:rPr>
        <w:t xml:space="preserve"> полугодие 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плачено с учетом задолженности по состоянию на 01.01.2024 </w:t>
      </w:r>
      <w:r>
        <w:rPr>
          <w:sz w:val="28"/>
          <w:szCs w:val="28"/>
          <w:highlight w:val="none"/>
        </w:rPr>
        <w:t xml:space="preserve">(180,3 млн. рублей) – 557,1</w:t>
      </w:r>
      <w:r>
        <w:rPr>
          <w:sz w:val="28"/>
          <w:szCs w:val="28"/>
          <w:highlight w:val="none"/>
        </w:rPr>
        <w:t xml:space="preserve"> млн. рублей.</w:t>
      </w:r>
      <w:r>
        <w:rPr>
          <w:sz w:val="28"/>
          <w:szCs w:val="28"/>
          <w:highlight w:val="none"/>
        </w:rPr>
        <w:t xml:space="preserve"> Задолженность по счетам, поступивших к оплате </w:t>
      </w:r>
      <w:r>
        <w:rPr>
          <w:sz w:val="28"/>
          <w:szCs w:val="28"/>
          <w:highlight w:val="none"/>
        </w:rPr>
        <w:t xml:space="preserve">по состоянию на 01.07.2024 года составила 175,2 </w:t>
      </w:r>
      <w:r>
        <w:rPr>
          <w:sz w:val="28"/>
          <w:szCs w:val="28"/>
          <w:highlight w:val="none"/>
        </w:rPr>
        <w:t xml:space="preserve">млн. рублей, в том числе со сроком возникновени</w:t>
      </w:r>
      <w:r>
        <w:rPr>
          <w:sz w:val="28"/>
          <w:szCs w:val="28"/>
          <w:highlight w:val="none"/>
        </w:rPr>
        <w:t xml:space="preserve">я свыше 25 календарных дней – 95</w:t>
      </w:r>
      <w:r>
        <w:rPr>
          <w:sz w:val="28"/>
          <w:szCs w:val="28"/>
          <w:highlight w:val="none"/>
        </w:rPr>
        <w:t xml:space="preserve">,5 млн. рублей.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Медицинскими организациями других субъ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ектов Российской Федерации пациентам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застрахованным на территории Липецкой области, медицинская помощь оказана по следующим основным профилям: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акушерство и гинекология – 1 171 случай на сумму 11,2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ЭКО - 13 случаев на сумму 1,5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инфекционные болезни - 416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случаев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7,2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кардиология – 723 случая на сумму 9,5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медицинская реабилитация – 240 случаев на сумму 16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,5 млн. 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неврология – 753 случая на сумму 11,9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нейрохирургия – 239 случаев на сумму 20,5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онкология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6 130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случаев на сумму 204,6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- 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0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химиотерапия – 453 случая на сумму 124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,5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офтальмология – 2 018 случаев на сумму 23,0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рдечно-сосудистая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хирургия - 367 случаев на сумму 31,8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травма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тология и ортопедия – 1 666 случаев на сумму 106,8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урология – 370 случаев на сумму 5,5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 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4"/>
        <w:ind w:left="0"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Расходы медицинских организаций за 1 полугодие 2024 год составили 8 894,3 млн. рублей, что выше показателя прошлого года на 8,9% или 726,1 млн. рублей (8 168,2 млн. рублей), в том числе: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на оплату труда с начислениями – 6 068,6 млн. рублей, что составляет 110,8% от уровня прошлого года (5 475,3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оплата за медикаменты – 1 557,4 млн. рублей, что выше уровня прошлого года на 5,6% (1 474,6 млн. рублей);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оплата за продукты питания – 103,2 млн. рублей, что ниже показателя прошлого года на 1,7% (105,0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коммунальных услуг – 327,7 млн. рублей, что выше уровня прошлого года на 7,1% (305,9 млн. рублей).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68,2%, при этом темпы роста данных расходов в сравнении с предыдущим периодом превышают темпы роста по другим видам расходов.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Средняя заработная плата работников государственных медицинских организаций Липецкой области в системе ОМС 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составила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45,97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что на 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4,3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 выше аналогичного показателя прошлого года (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40,21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рублей)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1,5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 и составила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47,78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 (2023 год –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42,86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рублей);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стационарном звене рост средней зарплаты медицинских работников составил 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% - 5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9,40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 (2023 год – 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3,03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рублей);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подразделениях скорой медицинской помощи средняя зарплата медицинских работников из средств ОМС составила 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7,88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рост –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24,6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% (2023 год –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46,45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рублей).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отчетном периоде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средняя заработная плата по категориям персонала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сравнению с аналогичным периодом прошлого года сложилась следующим образом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врачебным кадрам средняя зарплата увеличилась на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10,0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% и составила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82,20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(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74,70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среднему медперсоналу рост средней зарплаты составил 1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3,3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% - 4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5,47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40,15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младшему медицинскому персоналу средняя зарплата увеличилась на 1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7,1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% и составила 4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3,5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(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37,16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прочему персоналу рост средней зарплаты составил 1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8,5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% - 2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9,13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(24,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59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АУП средняя зарплата увеличилась на 1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6,3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% и составила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72,01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 (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61,92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страх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ового запаса, утвержден на 2024 год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 881,4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в том числе на дополнительное профессиональное образование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медицинских работников – 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49,6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рублей, на проведение ремонта медицинского оборудования – 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 531,8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рублей. Подписаны соглашения с 15 меди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цинскими организациями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проведению ремонта медицинского оборудования.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полугодия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в медицинские организации было направлено средств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на проведение мероприятий по организации дополнительного профе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1 528,6 тыс. рублей, в том числе на дополнительное профессиональное образование медицинских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работников – 595,5 тыс. рублей, на проведение ремонта медицинского оборудования – 933,1 тыс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 целью реализации Федерального закона № 326-ФЗ «Об обязательном медицинском страховании в Российской Федерации» (пункта 4 части 6 статьи 26) для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расходов медицинских организаций на оплату труда врачей и среднего медицинского персонала, распоряжением Правительства Российской Федерации для Липецкой области в 2024 году предусмотрено – 29,1 млн. рублей.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в медицинские организации в соответствии с их заявками было направлено </w:t>
      </w:r>
      <w:r>
        <w:rPr>
          <w:rFonts w:ascii="Times New Roman" w:hAnsi="Times New Roman"/>
          <w:sz w:val="28"/>
          <w:szCs w:val="28"/>
          <w:highlight w:val="none"/>
        </w:rPr>
        <w:t xml:space="preserve">9,8</w:t>
      </w:r>
      <w:r>
        <w:rPr>
          <w:rFonts w:ascii="Times New Roman" w:hAnsi="Times New Roman"/>
          <w:sz w:val="28"/>
          <w:szCs w:val="28"/>
          <w:highlight w:val="none"/>
        </w:rPr>
        <w:t xml:space="preserve"> млн. рублей. Из средств нормированного страхового запаса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полугодие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осуществлено финансирование заработной платы </w:t>
      </w:r>
      <w:r>
        <w:rPr>
          <w:rFonts w:ascii="Times New Roman" w:hAnsi="Times New Roman"/>
          <w:sz w:val="28"/>
          <w:szCs w:val="28"/>
          <w:highlight w:val="none"/>
        </w:rPr>
        <w:t xml:space="preserve">6</w:t>
      </w:r>
      <w:r>
        <w:rPr>
          <w:rFonts w:ascii="Times New Roman" w:hAnsi="Times New Roman"/>
          <w:sz w:val="28"/>
          <w:szCs w:val="28"/>
          <w:highlight w:val="none"/>
        </w:rPr>
        <w:t xml:space="preserve">1 медицинского работника, (в том числе </w:t>
      </w:r>
      <w:r>
        <w:rPr>
          <w:rFonts w:ascii="Times New Roman" w:hAnsi="Times New Roman"/>
          <w:sz w:val="28"/>
          <w:szCs w:val="28"/>
          <w:highlight w:val="none"/>
        </w:rPr>
        <w:t xml:space="preserve">34</w:t>
      </w:r>
      <w:r>
        <w:rPr>
          <w:rFonts w:ascii="Times New Roman" w:hAnsi="Times New Roman"/>
          <w:sz w:val="28"/>
          <w:szCs w:val="28"/>
          <w:highlight w:val="none"/>
        </w:rPr>
        <w:t xml:space="preserve"> врачей и </w:t>
      </w:r>
      <w:r>
        <w:rPr>
          <w:rFonts w:ascii="Times New Roman" w:hAnsi="Times New Roman"/>
          <w:sz w:val="28"/>
          <w:szCs w:val="28"/>
          <w:highlight w:val="none"/>
        </w:rPr>
        <w:t xml:space="preserve">27</w:t>
      </w:r>
      <w:r>
        <w:rPr>
          <w:rFonts w:ascii="Times New Roman" w:hAnsi="Times New Roman"/>
          <w:sz w:val="28"/>
          <w:szCs w:val="28"/>
          <w:highlight w:val="none"/>
        </w:rPr>
        <w:t xml:space="preserve"> человек среднего медицинского персонала).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В план проверок на 1 полугодие 2024 года включены 25 медицинских организаций и 2 страховые  медицинские организации.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За 1 полугодие 2024 года проведено 27 проверок, в том числе: в медицинских организациях – 25 плановых комплексных проверок, в страховых медицинских организациях - 2 плановые комплексные проверки.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Остаток невосстановленных средств ОМС по состоянию на 01.01.2024 составил 3 970,9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 итогам проверок за 1 полугодие 2024 года в медицинских организациях выявлено нецелевое использование средств обязательного медицинского страхования на сумму 3 233,5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«Оплата видов медицинской помощи, не включенных в территориальную программу ОМС» - 34,8тыс. рублей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 или 1,1%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- 34,8 тыс. рублей - 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обучение по темам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 не связанным с оказанием медицинской помощи в рамках территориальной программы ОМС. 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«Оплата расходов, не включенных в тарифы на оплату медицинской помощи в рамках территориальной программы ОМС» - 1 082,2 тыс. рублей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 или 33,5 %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- 34,2 тыс. рублей – выплата материальной помощи работникам медицинской организации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- 111,0 тыс. рублей -  приобретение оборудования стоимостью свыше 100,0 тыс. рублей за единицу; 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- 937,0 тыс. рублей - выплата заработной платы работнику за работу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 не связанную с реализацией территориальной программы ОМС. 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 «Расходование сре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дств св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ерх норм, установленных соответствующими  министерствами, ведомствами – 762,0 тыс. руб.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или 23,5% от выявленной суммы нецелевого использования средств ОМС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- 762,0 тыс. рублей – выплаты заработной платы с учетом начислений, произведенные с превышением установленных норм.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«Расходование сре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дств пр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и отсутствии подтверждающих документов» - 1 354,5 тыс. рублей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или 41,9%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 ОМС: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- 1 272,6 тыс. рублей - выплата заработной платы, с учетом начислений, при отсутствии сертификата специалиста;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 xml:space="preserve">- 81,9 тыс. рублей – выплата денежной компенсации не подтвержденная первичными документами. 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none"/>
          <w:lang w:eastAsia="zh-CN"/>
        </w:rPr>
        <w:tab/>
        <w:t xml:space="preserve">Возвращено в бюджет ТФОМС Липецкой области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соответствии с требованиями Федерального закона от 29.11.2010 № 326-ФЗ «Об обязательном медицинском страховании в Российской Федерации» - 3 153,2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Уменьшено в отчетном периоде сумм выявленного нецелевого использования средств по решениям судебных органов – 889,1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По состоянию на 01.07.2024 остаток невосстановленных медицинскими организациями средств ОМС составляет 3 162,1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Сумма предъявленных штрафов, пеней по результатам проверок деятельности страховых медицинских организаций и медицинских организаций в сфере обязательного медицинского страхования за 1 полугодие 2024 составила 427,5 тыс. рублей, в том числе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медицинским организациям – 368,7 тыс. рублей,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страховым медицинским организациям – 58,8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 состоянию на 01.01.2024 года задолженность по штрафам и пени составляла 474,3 тыс. рублей (медицинские организации – 364,8 тыс. рублей, страховые медицинские организации – 109,5 тыс. рублей.)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Получено в отчетном периоде штрафов, пеней по результатам проверок 592,9 тыс. рублей: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медицинских организаций – 424,6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- страховых медицинских организаций – 168,3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Уменьшено в отчетном периоде сумм штрафов по решениям судебных органов - 88,9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 состоянию на 01.07.2024 года задолженность по штрафам и пени по результатам проверок медицинских организаций – 220,0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Отсутствие должного внутреннего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По результатам проведенных за 1 полугодие 2024 года проверок медицинских организаций финансовые потери в результате частичной или полной неоплаты медицинской помощи составили 64 294,7 тыс. рублей.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contextualSpacing/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ходе контрольных мероприятий за 1 полугодие 2024 года были установлены нарушения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риведшие к неэффективному использованию средств ОМС на сумму 11 653,3 тыс. рублей: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tabs>
          <w:tab w:val="left" w:pos="0" w:leader="none"/>
        </w:tabs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медико-экономической экспертизы, экспертизы качества медицинской помощи –11 553,3 тыс. рублей;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zh-CN"/>
        </w:rPr>
        <w:t xml:space="preserve">- лекарственные средства с истекшим сроком годности, находящиеся в карантинной зоне или переданные на уничтожение – 100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необходимо: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усилить внутренний контроль объемов, сроков, качества и условий предоставления медицинской помощи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в целях недопущения штрафных санкций по предписаниям страховых медицинских организаций;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осуществлять в постоянном реж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Выявленные при проверках нарушения приводят к временному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Calibri" w:hAnsi="Calibri" w:eastAsia="Calibri" w:cs="Times New Roman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Исключение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>
        <w:rPr>
          <w:rFonts w:ascii="Calibri" w:hAnsi="Calibri" w:eastAsia="Calibri" w:cs="Times New Roman"/>
          <w:highlight w:val="none"/>
        </w:rPr>
      </w:r>
      <w:r>
        <w:rPr>
          <w:rFonts w:ascii="Calibri" w:hAnsi="Calibri" w:eastAsia="Calibri" w:cs="Times New Roman"/>
          <w:highlight w:val="none"/>
        </w:rPr>
      </w:r>
    </w:p>
    <w:p>
      <w:pPr>
        <w:ind w:firstLine="708"/>
        <w:jc w:val="both"/>
        <w:spacing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Руково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дителям медицинских организаций необходимо принять меры по усилению финансовой дисциплины. Недопустимость нецелевого расходования средств ОМС медицинскими организациями следует признать одним из основополагающих принципов деятельности указанных субъектов,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соблюдение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которого частично гарантирует достижение поставленных перед ними задач.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в течение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 полугодия 2024 года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сократилась на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95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%, на 01.01.2024 она составляла 52 203,9 тыс. рублей, на 01.0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.2024 она составила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2 511,3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рамках контроля объемов, сроков, качества и условий оказания медицин</w:t>
      </w:r>
      <w:r>
        <w:rPr>
          <w:sz w:val="28"/>
          <w:szCs w:val="28"/>
          <w:highlight w:val="none"/>
        </w:rPr>
        <w:t xml:space="preserve">ской помощи, оказанной медицинскими организациями Липецкой области, спе</w:t>
      </w:r>
      <w:r>
        <w:rPr>
          <w:sz w:val="28"/>
          <w:szCs w:val="28"/>
          <w:highlight w:val="none"/>
        </w:rPr>
        <w:t xml:space="preserve">циалистами СМО в отчетном периоде проводи</w:t>
      </w:r>
      <w:r>
        <w:rPr>
          <w:sz w:val="28"/>
          <w:szCs w:val="28"/>
          <w:highlight w:val="none"/>
        </w:rPr>
        <w:t xml:space="preserve">лись экспертные мероприятия в соответствии с действующими нормативными ак</w:t>
      </w:r>
      <w:r>
        <w:rPr>
          <w:sz w:val="28"/>
          <w:szCs w:val="28"/>
          <w:highlight w:val="none"/>
        </w:rPr>
        <w:t xml:space="preserve">тами.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период январь-июнь 2024 года подвергнуто экспертизам 59,0 тыс. страховых случаев медицинской помощи, оказанных гражданам, застрахованным на территории Липецкой области, в том числе в ходе плановых проверок 13,6 тысяч.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При проведении медико-экономических экспертиз (МЭЭ) за январь-июнь 2024 года было проанализировано 44,7 тыс. случаев оказания медицинской помощи, в том числе при целевых проверках 33,9 тыс. случаев.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результате МЭЭ было установлено 12 495 нарушение (28%), отмечается </w:t>
      </w:r>
      <w:r>
        <w:rPr>
          <w:sz w:val="28"/>
          <w:szCs w:val="28"/>
          <w:highlight w:val="none"/>
        </w:rPr>
        <w:t xml:space="preserve">увеличение количества дефектов в сравнении с аналогичным периодом 2023 года, когда данный по</w:t>
      </w:r>
      <w:r>
        <w:rPr>
          <w:sz w:val="28"/>
          <w:szCs w:val="28"/>
          <w:highlight w:val="none"/>
        </w:rPr>
        <w:t xml:space="preserve">казатель составлял 15% (в 2022 - 8%).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«н</w:t>
      </w:r>
      <w:r>
        <w:rPr>
          <w:sz w:val="28"/>
          <w:szCs w:val="28"/>
          <w:highlight w:val="none"/>
        </w:rPr>
        <w:t xml:space="preserve">епредставление перв</w:t>
      </w:r>
      <w:r>
        <w:rPr>
          <w:sz w:val="28"/>
          <w:szCs w:val="28"/>
          <w:highlight w:val="none"/>
        </w:rPr>
        <w:t xml:space="preserve">ичной медицинской документации, подтверждающей факт оказания застрахованным лицам медицинской помощи», составило – 1 459 или 12% от общего количества нарушений, по сравнению с аналогичным периодом 2023 года количество данных нарушений уменьшилось в 4 раза.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6 008 или 48% от общего количества нарушений, что в 2,3 раза больше, чем в аналогичном периоде 2023 года.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</w:t>
      </w:r>
      <w:r>
        <w:rPr>
          <w:sz w:val="28"/>
          <w:szCs w:val="28"/>
          <w:highlight w:val="none"/>
        </w:rPr>
        <w:t xml:space="preserve">ий по причине «отсутствие в документации информированного добровольного согласия застрахованного лица на медицинское вмешательство», составило – 4 109 или 33% от общего количества нарушений, что на 435 дефектов меньше, чем в аналогичном периоде 2023 года.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ходе экспертиз качества медицинской помощи (ЭКМП) было проанализировано 14,2 тыс. слу</w:t>
      </w:r>
      <w:r>
        <w:rPr>
          <w:sz w:val="28"/>
          <w:szCs w:val="28"/>
          <w:highlight w:val="none"/>
        </w:rPr>
        <w:t xml:space="preserve">чаев оказания медицинской помощи, в том числе при целевых проверках – 11,4 тыс. случаев.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результате ЭКМП было установлено 4 773 нарушения (34%), отме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чается увеличение в сравнении с аналогичным периодом 2023 года, когда данный показатель составлял 30%.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Наибольшее количество нарушений – «невыполнение, несвоевременное или ненадлежащее выполнение необходимых пациенту диагностических и (или) лечебных мероприятий, оперативных вмешательств в соответствии с по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дками оказания медицинской помощи, на основе клинических рекомендаций и с учетом стандартов медицинской помощи» - 2 647 или 55% от общего количества нарушений, в том числе при проведении диспансеризации определенных групп взрослого населения – 1 137 (43%).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оплате медицинской помощи), количество их составило – 1 013 или 21% от общего количества нарушений, в том числе: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«несоответствие данных первичной медицинской документации данным реестра счетов», составило – 513 или 51%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«отсутствие в документации информированного добровольного согласия застрахованного лица на медицинское вмешательство», составило – 249 или 25%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«непредставление первичной медицинской документации, подтверждающей факт оказания ЗЛ медицинской помощи», составило – 56 или 6% от общего количества нарушений из раздела 2.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По итогам МЭЭ и ЭКМП к медицинским организациям применены финан</w:t>
      </w:r>
      <w:r>
        <w:rPr>
          <w:sz w:val="28"/>
          <w:szCs w:val="28"/>
          <w:highlight w:val="none"/>
        </w:rPr>
        <w:t xml:space="preserve">совые санкции в размере 57,5 млн. рублей (2023 год – 112,1 млн. рублей).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I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полугодии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2024 года проведено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92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контрольно-экспертных мероприятия по случаям оказания медицинской помощи пациентам с подозрением на злокачественные новообразования (ЗНО) и/или с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подтвержденным диагнозом ЗНО, в том числе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87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298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медико-экономического контроля,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4 508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медико-экономических экспертиз,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371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экспертиз качества медицинской помощи. По результатам контрольно-экспертных мероприятий выявлено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554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дефектов, в том числе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по страховым случаям с применением химиотерапии.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7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период январь-июнь 2024 года специалистами ТФОМС Липецкой об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ласти и экспертами качества медицинской помощи, входящими в реестр экспер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тов качества медицинской помощи, привлекаемыми на договорной основе, прово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дились повторные медико-экономические экспертизы и экспертизы качества медицинской помощи.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Количество страховых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случаев, подвергшихся повторной МЭЭ, составило 1 965, количество страховых случаев, подвергшихся повторной ЭКМП, составило 744, что соответствует требованиям приказа ФФОМС от 19.03.2021 № 231н «Об утверждении Порядка проведения контроля объемов, сроков, ка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Установлены нарушения в 45 случаях (1,7%), допущ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енные медицинскими организациями, но не выявленные  СМО при первичном проведении экспертиз. По итогам повторных экспертиз к СМО применены штрафные санкций в размере 15 343,30 рублей - 10% от суммы, необоснованно оплаченной медицинским организациям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январь-июнь 2024 года ТФОМС и СМО было рассмотрено 41 689 обраще</w:t>
      </w:r>
      <w:r>
        <w:rPr>
          <w:sz w:val="28"/>
          <w:szCs w:val="28"/>
          <w:highlight w:val="none"/>
        </w:rPr>
        <w:t xml:space="preserve">ний. В сравнении с аналогичным периодом 2023 года количество обращений уменьшилось на 13,5 тысяч.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Всего обращений за разъяснениями, в том числе заявлений, 41 582, наибольшее количество по 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просам выбора и/или замены СМО, включения в единый регистр застрахованных, обеспечения выдачи полисов, о переоформлении полиса ОМС — 36 258 или 87% от общего количества.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период январь-июнь 2024 года поступило 103 жалобы или 0,2% от общего числа обращений; в 2023 году данный показатель 106 (0,2%).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Все жалобы рассмотрены в досудебном порядке, в установленные законом сроки, обоснованными признано 59 (57%), за аналогичный период  2023 года 71 жалоба (67%) были признаны обоснованными.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Структура обоснованных жалоб по причинам сложилась следующим обра</w:t>
      </w:r>
      <w:r>
        <w:rPr>
          <w:sz w:val="28"/>
          <w:szCs w:val="28"/>
          <w:highlight w:val="none"/>
        </w:rPr>
        <w:t xml:space="preserve">зом: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- 43 жалобы (73%) на качество медицинской помощи;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- 12 жалоб (20%) на недостоверные сведения об оказанных медицинских услугах;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- 2 жалобы (3%) на организацию работы медицинской организации;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- 1 жалоба (2%) на отказ в оказании медицинской помощи по программам ОМС;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8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- 1 жалоба (2%) на взимание денежных средств за оказанную медицинскую помощь.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общественного мнения по удовлетворенности населения медицинской помощью, %» фе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за 1 полугодие 2024 года составил 48,3% (плановый показатель 53,4%).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0"/>
  </w:num>
  <w:num w:numId="7">
    <w:abstractNumId w:val="7"/>
  </w:num>
  <w:num w:numId="8">
    <w:abstractNumId w:val="3"/>
  </w:num>
  <w:num w:numId="9">
    <w:abstractNumId w:val="9"/>
  </w:num>
  <w:num w:numId="10">
    <w:abstractNumId w:val="8"/>
  </w:num>
  <w:num w:numId="11">
    <w:abstractNumId w:val="4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 w:default="1">
    <w:name w:val="Normal"/>
    <w:qFormat/>
  </w:style>
  <w:style w:type="paragraph" w:styleId="679">
    <w:name w:val="Heading 1"/>
    <w:basedOn w:val="678"/>
    <w:next w:val="678"/>
    <w:link w:val="72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0">
    <w:name w:val="Heading 2"/>
    <w:basedOn w:val="678"/>
    <w:next w:val="678"/>
    <w:link w:val="902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81">
    <w:name w:val="Heading 3"/>
    <w:basedOn w:val="678"/>
    <w:next w:val="678"/>
    <w:link w:val="72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next w:val="678"/>
    <w:link w:val="72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next w:val="678"/>
    <w:link w:val="73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next w:val="678"/>
    <w:link w:val="73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5">
    <w:name w:val="Heading 7"/>
    <w:basedOn w:val="678"/>
    <w:next w:val="678"/>
    <w:link w:val="73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6">
    <w:name w:val="Heading 8"/>
    <w:basedOn w:val="678"/>
    <w:next w:val="678"/>
    <w:link w:val="73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7">
    <w:name w:val="Heading 9"/>
    <w:basedOn w:val="678"/>
    <w:next w:val="678"/>
    <w:link w:val="73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table" w:styleId="691" w:customStyle="1">
    <w:name w:val="Plain Table 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 w:customStyle="1">
    <w:name w:val="Plain Table 2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 w:customStyle="1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 w:customStyle="1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 w:customStyle="1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 w:customStyle="1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0" w:customStyle="1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01" w:customStyle="1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2" w:customStyle="1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03" w:customStyle="1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05" w:customStyle="1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08" w:customStyle="1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09" w:customStyle="1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10" w:customStyle="1">
    <w:name w:val="Heading 1 Char"/>
    <w:basedOn w:val="688"/>
    <w:uiPriority w:val="9"/>
    <w:rPr>
      <w:rFonts w:ascii="Arial" w:hAnsi="Arial" w:eastAsia="Arial" w:cs="Arial"/>
      <w:sz w:val="40"/>
      <w:szCs w:val="40"/>
    </w:rPr>
  </w:style>
  <w:style w:type="character" w:styleId="711" w:customStyle="1">
    <w:name w:val="Heading 3 Char"/>
    <w:basedOn w:val="688"/>
    <w:uiPriority w:val="9"/>
    <w:rPr>
      <w:rFonts w:ascii="Arial" w:hAnsi="Arial" w:eastAsia="Arial" w:cs="Arial"/>
      <w:sz w:val="30"/>
      <w:szCs w:val="30"/>
    </w:rPr>
  </w:style>
  <w:style w:type="character" w:styleId="712" w:customStyle="1">
    <w:name w:val="Heading 4 Char"/>
    <w:basedOn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713" w:customStyle="1">
    <w:name w:val="Heading 5 Char"/>
    <w:basedOn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14" w:customStyle="1">
    <w:name w:val="Heading 6 Char"/>
    <w:basedOn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715" w:customStyle="1">
    <w:name w:val="Heading 7 Char"/>
    <w:basedOn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6" w:customStyle="1">
    <w:name w:val="Heading 8 Char"/>
    <w:basedOn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717" w:customStyle="1">
    <w:name w:val="Heading 9 Char"/>
    <w:basedOn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718" w:customStyle="1">
    <w:name w:val="Title Char"/>
    <w:basedOn w:val="688"/>
    <w:uiPriority w:val="10"/>
    <w:rPr>
      <w:sz w:val="48"/>
      <w:szCs w:val="48"/>
    </w:rPr>
  </w:style>
  <w:style w:type="character" w:styleId="719" w:customStyle="1">
    <w:name w:val="Subtitle Char"/>
    <w:basedOn w:val="688"/>
    <w:uiPriority w:val="11"/>
    <w:rPr>
      <w:sz w:val="24"/>
      <w:szCs w:val="24"/>
    </w:rPr>
  </w:style>
  <w:style w:type="character" w:styleId="720" w:customStyle="1">
    <w:name w:val="Quote Char"/>
    <w:uiPriority w:val="29"/>
    <w:rPr>
      <w:i/>
    </w:rPr>
  </w:style>
  <w:style w:type="character" w:styleId="721" w:customStyle="1">
    <w:name w:val="Intense Quote Char"/>
    <w:uiPriority w:val="30"/>
    <w:rPr>
      <w:i/>
    </w:rPr>
  </w:style>
  <w:style w:type="character" w:styleId="722" w:customStyle="1">
    <w:name w:val="Header Char"/>
    <w:basedOn w:val="688"/>
    <w:uiPriority w:val="99"/>
  </w:style>
  <w:style w:type="character" w:styleId="723" w:customStyle="1">
    <w:name w:val="Caption Char"/>
    <w:uiPriority w:val="99"/>
  </w:style>
  <w:style w:type="character" w:styleId="724" w:customStyle="1">
    <w:name w:val="Footnote Text Char"/>
    <w:uiPriority w:val="99"/>
    <w:rPr>
      <w:sz w:val="18"/>
    </w:rPr>
  </w:style>
  <w:style w:type="character" w:styleId="725" w:customStyle="1">
    <w:name w:val="Endnote Text Char"/>
    <w:uiPriority w:val="99"/>
    <w:rPr>
      <w:sz w:val="20"/>
    </w:rPr>
  </w:style>
  <w:style w:type="character" w:styleId="726" w:customStyle="1">
    <w:name w:val="Заголовок 1 Знак"/>
    <w:basedOn w:val="688"/>
    <w:link w:val="679"/>
    <w:uiPriority w:val="9"/>
    <w:rPr>
      <w:rFonts w:ascii="Arial" w:hAnsi="Arial" w:eastAsia="Arial" w:cs="Arial"/>
      <w:sz w:val="40"/>
      <w:szCs w:val="40"/>
    </w:rPr>
  </w:style>
  <w:style w:type="character" w:styleId="727" w:customStyle="1">
    <w:name w:val="Heading 2 Char"/>
    <w:basedOn w:val="688"/>
    <w:uiPriority w:val="9"/>
    <w:rPr>
      <w:rFonts w:ascii="Arial" w:hAnsi="Arial" w:eastAsia="Arial" w:cs="Arial"/>
      <w:sz w:val="34"/>
    </w:rPr>
  </w:style>
  <w:style w:type="character" w:styleId="728" w:customStyle="1">
    <w:name w:val="Заголовок 3 Знак"/>
    <w:basedOn w:val="688"/>
    <w:link w:val="681"/>
    <w:uiPriority w:val="9"/>
    <w:rPr>
      <w:rFonts w:ascii="Arial" w:hAnsi="Arial" w:eastAsia="Arial" w:cs="Arial"/>
      <w:sz w:val="30"/>
      <w:szCs w:val="30"/>
    </w:rPr>
  </w:style>
  <w:style w:type="character" w:styleId="729" w:customStyle="1">
    <w:name w:val="Заголовок 4 Знак"/>
    <w:basedOn w:val="688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730" w:customStyle="1">
    <w:name w:val="Заголовок 5 Знак"/>
    <w:basedOn w:val="688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731" w:customStyle="1">
    <w:name w:val="Заголовок 6 Знак"/>
    <w:basedOn w:val="688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732" w:customStyle="1">
    <w:name w:val="Заголовок 7 Знак"/>
    <w:basedOn w:val="688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3" w:customStyle="1">
    <w:name w:val="Заголовок 8 Знак"/>
    <w:basedOn w:val="688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734" w:customStyle="1">
    <w:name w:val="Заголовок 9 Знак"/>
    <w:basedOn w:val="688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735">
    <w:name w:val="Title"/>
    <w:basedOn w:val="678"/>
    <w:next w:val="678"/>
    <w:link w:val="736"/>
    <w:uiPriority w:val="10"/>
    <w:qFormat/>
    <w:pPr>
      <w:contextualSpacing/>
      <w:spacing w:before="300"/>
    </w:pPr>
    <w:rPr>
      <w:sz w:val="48"/>
      <w:szCs w:val="48"/>
    </w:rPr>
  </w:style>
  <w:style w:type="character" w:styleId="736" w:customStyle="1">
    <w:name w:val="Название Знак"/>
    <w:basedOn w:val="688"/>
    <w:link w:val="735"/>
    <w:uiPriority w:val="10"/>
    <w:rPr>
      <w:sz w:val="48"/>
      <w:szCs w:val="48"/>
    </w:rPr>
  </w:style>
  <w:style w:type="paragraph" w:styleId="737">
    <w:name w:val="Subtitle"/>
    <w:basedOn w:val="678"/>
    <w:next w:val="678"/>
    <w:link w:val="738"/>
    <w:uiPriority w:val="11"/>
    <w:qFormat/>
    <w:pPr>
      <w:spacing w:before="200"/>
    </w:pPr>
    <w:rPr>
      <w:sz w:val="24"/>
      <w:szCs w:val="24"/>
    </w:rPr>
  </w:style>
  <w:style w:type="character" w:styleId="738" w:customStyle="1">
    <w:name w:val="Подзаголовок Знак"/>
    <w:basedOn w:val="688"/>
    <w:link w:val="737"/>
    <w:uiPriority w:val="11"/>
    <w:rPr>
      <w:sz w:val="24"/>
      <w:szCs w:val="24"/>
    </w:rPr>
  </w:style>
  <w:style w:type="paragraph" w:styleId="739">
    <w:name w:val="Quote"/>
    <w:basedOn w:val="678"/>
    <w:next w:val="678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678"/>
    <w:next w:val="678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paragraph" w:styleId="743">
    <w:name w:val="Header"/>
    <w:basedOn w:val="678"/>
    <w:link w:val="7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 w:customStyle="1">
    <w:name w:val="Верхний колонтитул Знак"/>
    <w:basedOn w:val="688"/>
    <w:link w:val="743"/>
    <w:uiPriority w:val="99"/>
  </w:style>
  <w:style w:type="paragraph" w:styleId="745">
    <w:name w:val="Footer"/>
    <w:basedOn w:val="678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6" w:customStyle="1">
    <w:name w:val="Footer Char"/>
    <w:basedOn w:val="688"/>
    <w:uiPriority w:val="99"/>
  </w:style>
  <w:style w:type="paragraph" w:styleId="747">
    <w:name w:val="Caption"/>
    <w:basedOn w:val="678"/>
    <w:next w:val="67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8" w:customStyle="1">
    <w:name w:val="Нижний колонтитул Знак"/>
    <w:link w:val="745"/>
    <w:uiPriority w:val="99"/>
  </w:style>
  <w:style w:type="table" w:styleId="749">
    <w:name w:val="Table Grid"/>
    <w:basedOn w:val="68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0" w:customStyle="1">
    <w:name w:val="Table Grid Light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1" w:customStyle="1">
    <w:name w:val="Таблица простая 1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 w:customStyle="1">
    <w:name w:val="Таблица простая 21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 w:customStyle="1">
    <w:name w:val="Таблица простая 3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 w:customStyle="1">
    <w:name w:val="Таблица простая 4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Таблица простая 5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 w:customStyle="1">
    <w:name w:val="Таблица-сетка 1 светл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Таблица-сетка 2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Таблица-сетка 3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Таблица-сетка 4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 w:customStyle="1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9" w:customStyle="1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0" w:customStyle="1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1" w:customStyle="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2" w:customStyle="1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3" w:customStyle="1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4" w:customStyle="1">
    <w:name w:val="Таблица-сетка 5 тем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1" w:customStyle="1">
    <w:name w:val="Таблица-сетка 6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2" w:customStyle="1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3" w:customStyle="1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4" w:customStyle="1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5" w:customStyle="1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6" w:customStyle="1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7" w:customStyle="1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8" w:customStyle="1">
    <w:name w:val="Таблица-сетка 7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Список-таблица 1 светлая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Список-таблица 2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9" w:customStyle="1">
    <w:name w:val="Список-таблица 3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Список-таблица 4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Список-таблица 5 тем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Список-таблица 6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1" w:customStyle="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2" w:customStyle="1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3" w:customStyle="1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4" w:customStyle="1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5" w:customStyle="1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6" w:customStyle="1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7" w:customStyle="1">
    <w:name w:val="Список-таблица 7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 &amp; 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Bordered &amp; 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3" w:customStyle="1">
    <w:name w:val="Bordered &amp; 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4" w:customStyle="1">
    <w:name w:val="Bordered &amp; 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5" w:customStyle="1">
    <w:name w:val="Bordered &amp; 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6" w:customStyle="1">
    <w:name w:val="Bordered &amp; 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7" w:customStyle="1">
    <w:name w:val="Bordered &amp; 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8" w:customStyle="1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9" w:customStyle="1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0" w:customStyle="1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1" w:customStyle="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2" w:customStyle="1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3" w:customStyle="1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4" w:customStyle="1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5">
    <w:name w:val="footnote text"/>
    <w:basedOn w:val="678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 w:customStyle="1">
    <w:name w:val="Текст сноски Знак"/>
    <w:link w:val="875"/>
    <w:uiPriority w:val="99"/>
    <w:rPr>
      <w:sz w:val="18"/>
    </w:rPr>
  </w:style>
  <w:style w:type="character" w:styleId="877">
    <w:name w:val="footnote reference"/>
    <w:basedOn w:val="688"/>
    <w:uiPriority w:val="99"/>
    <w:unhideWhenUsed/>
    <w:rPr>
      <w:vertAlign w:val="superscript"/>
    </w:rPr>
  </w:style>
  <w:style w:type="paragraph" w:styleId="878">
    <w:name w:val="endnote text"/>
    <w:basedOn w:val="678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 w:customStyle="1">
    <w:name w:val="Текст концевой сноски Знак"/>
    <w:link w:val="878"/>
    <w:uiPriority w:val="99"/>
    <w:rPr>
      <w:sz w:val="20"/>
    </w:rPr>
  </w:style>
  <w:style w:type="character" w:styleId="880">
    <w:name w:val="endnote reference"/>
    <w:basedOn w:val="688"/>
    <w:uiPriority w:val="99"/>
    <w:semiHidden/>
    <w:unhideWhenUsed/>
    <w:rPr>
      <w:vertAlign w:val="superscript"/>
    </w:rPr>
  </w:style>
  <w:style w:type="paragraph" w:styleId="881">
    <w:name w:val="toc 1"/>
    <w:basedOn w:val="678"/>
    <w:next w:val="678"/>
    <w:uiPriority w:val="39"/>
    <w:unhideWhenUsed/>
    <w:pPr>
      <w:spacing w:after="57"/>
    </w:pPr>
  </w:style>
  <w:style w:type="paragraph" w:styleId="882">
    <w:name w:val="toc 2"/>
    <w:basedOn w:val="678"/>
    <w:next w:val="678"/>
    <w:uiPriority w:val="39"/>
    <w:unhideWhenUsed/>
    <w:pPr>
      <w:ind w:left="283"/>
      <w:spacing w:after="57"/>
    </w:pPr>
  </w:style>
  <w:style w:type="paragraph" w:styleId="883">
    <w:name w:val="toc 3"/>
    <w:basedOn w:val="678"/>
    <w:next w:val="678"/>
    <w:uiPriority w:val="39"/>
    <w:unhideWhenUsed/>
    <w:pPr>
      <w:ind w:left="567"/>
      <w:spacing w:after="57"/>
    </w:pPr>
  </w:style>
  <w:style w:type="paragraph" w:styleId="884">
    <w:name w:val="toc 4"/>
    <w:basedOn w:val="678"/>
    <w:next w:val="678"/>
    <w:uiPriority w:val="39"/>
    <w:unhideWhenUsed/>
    <w:pPr>
      <w:ind w:left="850"/>
      <w:spacing w:after="57"/>
    </w:pPr>
  </w:style>
  <w:style w:type="paragraph" w:styleId="885">
    <w:name w:val="toc 5"/>
    <w:basedOn w:val="678"/>
    <w:next w:val="678"/>
    <w:uiPriority w:val="39"/>
    <w:unhideWhenUsed/>
    <w:pPr>
      <w:ind w:left="1134"/>
      <w:spacing w:after="57"/>
    </w:pPr>
  </w:style>
  <w:style w:type="paragraph" w:styleId="886">
    <w:name w:val="toc 6"/>
    <w:basedOn w:val="678"/>
    <w:next w:val="678"/>
    <w:uiPriority w:val="39"/>
    <w:unhideWhenUsed/>
    <w:pPr>
      <w:ind w:left="1417"/>
      <w:spacing w:after="57"/>
    </w:pPr>
  </w:style>
  <w:style w:type="paragraph" w:styleId="887">
    <w:name w:val="toc 7"/>
    <w:basedOn w:val="678"/>
    <w:next w:val="678"/>
    <w:uiPriority w:val="39"/>
    <w:unhideWhenUsed/>
    <w:pPr>
      <w:ind w:left="1701"/>
      <w:spacing w:after="57"/>
    </w:pPr>
  </w:style>
  <w:style w:type="paragraph" w:styleId="888">
    <w:name w:val="toc 8"/>
    <w:basedOn w:val="678"/>
    <w:next w:val="678"/>
    <w:uiPriority w:val="39"/>
    <w:unhideWhenUsed/>
    <w:pPr>
      <w:ind w:left="1984"/>
      <w:spacing w:after="57"/>
    </w:pPr>
  </w:style>
  <w:style w:type="paragraph" w:styleId="889">
    <w:name w:val="toc 9"/>
    <w:basedOn w:val="678"/>
    <w:next w:val="678"/>
    <w:uiPriority w:val="39"/>
    <w:unhideWhenUsed/>
    <w:pPr>
      <w:ind w:left="2268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678"/>
    <w:next w:val="678"/>
    <w:uiPriority w:val="99"/>
    <w:unhideWhenUsed/>
    <w:pPr>
      <w:spacing w:after="0"/>
    </w:pPr>
  </w:style>
  <w:style w:type="paragraph" w:styleId="892">
    <w:name w:val="Body Text"/>
    <w:basedOn w:val="678"/>
    <w:link w:val="893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893" w:customStyle="1">
    <w:name w:val="Основной текст Знак"/>
    <w:basedOn w:val="688"/>
    <w:link w:val="892"/>
    <w:rPr>
      <w:rFonts w:ascii="Times New Roman" w:hAnsi="Times New Roman" w:eastAsia="Times New Roman" w:cs="Times New Roman"/>
      <w:sz w:val="20"/>
      <w:szCs w:val="20"/>
    </w:rPr>
  </w:style>
  <w:style w:type="paragraph" w:styleId="894">
    <w:name w:val="List Paragraph"/>
    <w:basedOn w:val="678"/>
    <w:uiPriority w:val="34"/>
    <w:qFormat/>
    <w:pPr>
      <w:contextualSpacing/>
      <w:ind w:left="720"/>
    </w:pPr>
  </w:style>
  <w:style w:type="paragraph" w:styleId="895">
    <w:name w:val="Balloon Text"/>
    <w:basedOn w:val="678"/>
    <w:link w:val="89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6" w:customStyle="1">
    <w:name w:val="Текст выноски Знак"/>
    <w:basedOn w:val="688"/>
    <w:link w:val="895"/>
    <w:uiPriority w:val="99"/>
    <w:semiHidden/>
    <w:rPr>
      <w:rFonts w:ascii="Tahoma" w:hAnsi="Tahoma" w:cs="Tahoma"/>
      <w:sz w:val="16"/>
      <w:szCs w:val="16"/>
    </w:rPr>
  </w:style>
  <w:style w:type="character" w:styleId="897" w:customStyle="1">
    <w:name w:val="Основной текст_"/>
    <w:link w:val="898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898" w:customStyle="1">
    <w:name w:val="Основной текст2"/>
    <w:basedOn w:val="678"/>
    <w:link w:val="897"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99">
    <w:name w:val="Normal (Web)"/>
    <w:basedOn w:val="67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0">
    <w:name w:val="No Spacing"/>
    <w:uiPriority w:val="1"/>
    <w:qFormat/>
    <w:pPr>
      <w:spacing w:after="0" w:line="240" w:lineRule="auto"/>
    </w:pPr>
  </w:style>
  <w:style w:type="character" w:styleId="901">
    <w:name w:val="Hyperlink"/>
    <w:basedOn w:val="688"/>
    <w:uiPriority w:val="99"/>
    <w:semiHidden/>
    <w:unhideWhenUsed/>
    <w:rPr>
      <w:color w:val="0000ff"/>
      <w:u w:val="single"/>
    </w:rPr>
  </w:style>
  <w:style w:type="character" w:styleId="902" w:customStyle="1">
    <w:name w:val="Заголовок 2 Знак"/>
    <w:basedOn w:val="688"/>
    <w:link w:val="680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03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37F6E-23A9-4FCD-994C-DB810685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Ражина</dc:creator>
  <cp:lastModifiedBy>konovalenkoan</cp:lastModifiedBy>
  <cp:revision>216</cp:revision>
  <dcterms:created xsi:type="dcterms:W3CDTF">2022-09-15T06:40:00Z</dcterms:created>
  <dcterms:modified xsi:type="dcterms:W3CDTF">2025-01-20T05:25:30Z</dcterms:modified>
</cp:coreProperties>
</file>