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7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I квартал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январь-март 202</w:t>
      </w: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 года доходы бюджета территориального фонда ОМС сложились в размере </w:t>
      </w:r>
      <w:r>
        <w:rPr>
          <w:sz w:val="28"/>
          <w:szCs w:val="28"/>
          <w:highlight w:val="none"/>
        </w:rPr>
        <w:t xml:space="preserve">6 445,2 млн. рублей, что составляет </w:t>
      </w:r>
      <w:r>
        <w:rPr>
          <w:sz w:val="28"/>
          <w:szCs w:val="28"/>
          <w:highlight w:val="none"/>
        </w:rPr>
        <w:t xml:space="preserve">100,0</w:t>
      </w:r>
      <w:r>
        <w:rPr>
          <w:sz w:val="28"/>
          <w:szCs w:val="28"/>
          <w:highlight w:val="none"/>
        </w:rPr>
        <w:t xml:space="preserve">% от утвержденных законом бюджетных назначений и 108,1% к доходам аналогичного периода 2026 года (5 962,2 млн. рублей).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средств в виде: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6 264,4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45,5 млн. рублей.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сопоставимых вышеуказанных доходов фонда для финансового обеспечения реализации территориальной программы ОМС в I квартале 202</w:t>
      </w:r>
      <w:r>
        <w:rPr>
          <w:sz w:val="28"/>
          <w:szCs w:val="28"/>
          <w:highlight w:val="none"/>
        </w:rPr>
        <w:t xml:space="preserve">6</w:t>
      </w:r>
      <w:r>
        <w:rPr>
          <w:sz w:val="28"/>
          <w:szCs w:val="28"/>
          <w:highlight w:val="none"/>
        </w:rPr>
        <w:t xml:space="preserve"> года составил </w:t>
      </w:r>
      <w:r>
        <w:rPr>
          <w:sz w:val="28"/>
          <w:szCs w:val="28"/>
          <w:highlight w:val="none"/>
        </w:rPr>
        <w:t xml:space="preserve">433,2 млн. рублей или 107,4%.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выполнение территориальной программы ОМС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I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квартал 2026 года медицинскими организациями предъявлено к оплате медицинской помощи всего на сумму</w:t>
      </w:r>
      <w:r>
        <w:rPr>
          <w:sz w:val="28"/>
          <w:szCs w:val="28"/>
          <w:highlight w:val="none"/>
        </w:rPr>
        <w:t xml:space="preserve"> 5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 885,5 млн. рублей, что составляет 94,7% от утвержденной стоимости программы и 107,2% к аналогичному показателю прошлого года (5 492,3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млн. рублей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), в том числе: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амбулаторной медицинской помощи утверждена в сумме 2 409,9 млн. рублей, фактическое выполнение составило - 2 279,7 млн. рублей</w:t>
      </w:r>
      <w:r>
        <w:rPr>
          <w:sz w:val="28"/>
          <w:szCs w:val="28"/>
          <w:highlight w:val="none"/>
        </w:rPr>
        <w:t xml:space="preserve"> или 94,6% от утвержденной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 110,9% к соответствующему показателю прошлого года (2 055,2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стационарной помощи утверждена в сумме 2 782,0 млн. рублей,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фактическое выполнение составило 2 683,</w:t>
      </w:r>
      <w:r>
        <w:rPr>
          <w:sz w:val="28"/>
          <w:szCs w:val="28"/>
          <w:highlight w:val="none"/>
        </w:rPr>
        <w:t xml:space="preserve">3 млн. </w:t>
      </w:r>
      <w:r>
        <w:rPr>
          <w:sz w:val="28"/>
          <w:szCs w:val="28"/>
          <w:highlight w:val="none"/>
        </w:rPr>
        <w:t xml:space="preserve">рублей или </w:t>
      </w:r>
      <w:r>
        <w:rPr>
          <w:sz w:val="28"/>
          <w:szCs w:val="28"/>
          <w:highlight w:val="none"/>
        </w:rPr>
        <w:t xml:space="preserve">96,5</w:t>
      </w:r>
      <w:r>
        <w:rPr>
          <w:sz w:val="28"/>
          <w:szCs w:val="28"/>
          <w:highlight w:val="none"/>
        </w:rPr>
        <w:t xml:space="preserve">% от утвержденной</w:t>
      </w:r>
      <w:r>
        <w:rPr>
          <w:sz w:val="28"/>
          <w:szCs w:val="28"/>
          <w:highlight w:val="none"/>
        </w:rPr>
        <w:t xml:space="preserve"> и </w:t>
      </w:r>
      <w:r>
        <w:rPr>
          <w:sz w:val="28"/>
          <w:szCs w:val="28"/>
          <w:highlight w:val="none"/>
        </w:rPr>
        <w:t xml:space="preserve">104,4% к аналогичному показателю прошлого года (2 570,4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медицинской помощи в дневных стационарах утверждена в сумме 641,1 млн. руб</w:t>
      </w:r>
      <w:r>
        <w:rPr>
          <w:sz w:val="28"/>
          <w:szCs w:val="28"/>
          <w:highlight w:val="none"/>
        </w:rPr>
        <w:t xml:space="preserve">л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й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фактически выполнено – 543,7 млн. руб</w:t>
      </w:r>
      <w:r>
        <w:rPr>
          <w:sz w:val="28"/>
          <w:szCs w:val="28"/>
          <w:highlight w:val="none"/>
        </w:rPr>
        <w:t xml:space="preserve">л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й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или 84,8% от утвержденной стоимости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 104,9% к соответствующему показателю 2025 года (518,4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4"/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скорой медицинской помощи утверждена в сумме 382,8 млн. рублей,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фактически выполнено – 378,7 млн. рублей </w:t>
      </w:r>
      <w:r>
        <w:rPr>
          <w:sz w:val="28"/>
          <w:szCs w:val="28"/>
          <w:highlight w:val="none"/>
        </w:rPr>
        <w:t xml:space="preserve">или 98,9% от утвержденной и 108,8% к соответствующему показателю прошлого года (348,</w:t>
      </w:r>
      <w:r>
        <w:rPr>
          <w:sz w:val="28"/>
          <w:szCs w:val="28"/>
          <w:highlight w:val="none"/>
        </w:rPr>
        <w:t xml:space="preserve">2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I квартале текущего года: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стационарной медицинской помощи в целом – на 100,6%;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амбула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торной медицинской помощи в части посещений для проведения профилактических медицинских осмотров – на 160,2%, в части посещений по диспансеризации – на 133,7% по обращениям по поводу заболеваний – на 106,9%; по посещениям в неотложной форме – на 99,3%;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медицинской помощи, оказанной в дневных стационарах - на 99,3%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скорой медицинской помощи – на 91,7%, или на 84,3% к уровню аналогичного показателя прошлого года.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34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В части медицинской помощи по профилю «Медицинская реабилитация» утвержденные объемы медицинской помощи в I</w:t>
      </w:r>
      <w:r>
        <w:rPr>
          <w:sz w:val="28"/>
          <w:szCs w:val="28"/>
          <w:lang w:eastAsia="ru-RU"/>
        </w:rPr>
        <w:t xml:space="preserve"> квартале </w:t>
      </w:r>
      <w:r>
        <w:rPr>
          <w:sz w:val="28"/>
          <w:szCs w:val="28"/>
          <w:lang w:eastAsia="ru-RU"/>
        </w:rPr>
        <w:t xml:space="preserve">202</w:t>
      </w:r>
      <w:r>
        <w:rPr>
          <w:sz w:val="28"/>
          <w:szCs w:val="28"/>
          <w:lang w:eastAsia="ru-RU"/>
        </w:rPr>
        <w:t xml:space="preserve">6</w:t>
      </w:r>
      <w:r>
        <w:rPr>
          <w:sz w:val="28"/>
          <w:szCs w:val="28"/>
          <w:lang w:eastAsia="ru-RU"/>
        </w:rPr>
        <w:t xml:space="preserve"> году выполнены:</w:t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734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ru-RU"/>
        </w:rPr>
        <w:t xml:space="preserve">- в стационарных условиях – на </w:t>
      </w:r>
      <w:r>
        <w:rPr>
          <w:sz w:val="28"/>
          <w:szCs w:val="28"/>
          <w:highlight w:val="none"/>
          <w:lang w:eastAsia="ru-RU"/>
        </w:rPr>
        <w:t xml:space="preserve">70,1</w:t>
      </w:r>
      <w:r>
        <w:rPr>
          <w:sz w:val="28"/>
          <w:szCs w:val="28"/>
          <w:highlight w:val="none"/>
          <w:lang w:eastAsia="ru-RU"/>
        </w:rPr>
        <w:t xml:space="preserve">% по объемам и </w:t>
      </w:r>
      <w:r>
        <w:rPr>
          <w:sz w:val="28"/>
          <w:szCs w:val="28"/>
          <w:highlight w:val="none"/>
          <w:lang w:eastAsia="ru-RU"/>
        </w:rPr>
        <w:t xml:space="preserve">91,6</w:t>
      </w:r>
      <w:r>
        <w:rPr>
          <w:sz w:val="28"/>
          <w:szCs w:val="28"/>
          <w:highlight w:val="none"/>
          <w:lang w:eastAsia="ru-RU"/>
        </w:rPr>
        <w:t xml:space="preserve">% по финансовому обеспечению;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34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ru-RU"/>
        </w:rPr>
        <w:t xml:space="preserve">- в условиях дневного стационара - на 11</w:t>
      </w:r>
      <w:r>
        <w:rPr>
          <w:sz w:val="28"/>
          <w:szCs w:val="28"/>
          <w:highlight w:val="none"/>
          <w:lang w:eastAsia="ru-RU"/>
        </w:rPr>
        <w:t xml:space="preserve">1,7</w:t>
      </w:r>
      <w:r>
        <w:rPr>
          <w:sz w:val="28"/>
          <w:szCs w:val="28"/>
          <w:highlight w:val="none"/>
          <w:lang w:eastAsia="ru-RU"/>
        </w:rPr>
        <w:t xml:space="preserve">% по объемам и 1</w:t>
      </w:r>
      <w:r>
        <w:rPr>
          <w:sz w:val="28"/>
          <w:szCs w:val="28"/>
          <w:highlight w:val="none"/>
          <w:lang w:eastAsia="ru-RU"/>
        </w:rPr>
        <w:t xml:space="preserve">12,2</w:t>
      </w:r>
      <w:r>
        <w:rPr>
          <w:sz w:val="28"/>
          <w:szCs w:val="28"/>
          <w:highlight w:val="none"/>
          <w:lang w:eastAsia="ru-RU"/>
        </w:rPr>
        <w:t xml:space="preserve">% по финансовому обеспечению.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 пациентам со злокачественными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новообразованиями (ЗНО), принятой к оплате, за I квартал 2026 года составила 558,3 млн. рублей (92% от запланированной суммы – 604,1 млн. рублей), в том числе в стационарных условиях – 317,8 млн. рублей, в условиях дневного стационара – 240,5 млн. рублей. 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Средняя стоимость 1 случая специализированного лечения пациентов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ЗНО за отчетный период составила в целом 65,4 тыс. рублей, в стационарных условиях – 69,4 тыс. рублей (при плановой средней стоимости 103,0 тыс. рублей), в условиях дневного стационара – 60,6 тыс. рублей (при плановой средней стоимости 80,1 тыс. рублей).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 специализированной медицинской помощи пациентам с ЗНО 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I квартал 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составил 8 542 случая, в том числе в круглосуточном стационаре – 4 576 случаев (163% от запланированного объема – 2 805 госпитализаций), в дневном стационаре – 3 966 случаев (101% от запланированного объема – 3 932 госпитализации).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проведения 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спансеризации взрослого населения, включая углубленную и по оценке репродуктивного здоровья, на 3 месяца 2026 год установлен в количестве 126 742 человек. Фактически осмотрено в рамках диспансеризации, включая лиц, застрахованных на территории Липецкой об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ласти, прошедших ДВН за пределами страхования – 161 726 человек или 127,6% от утвержденного плана. Всего оплачено счетов за проведенную диспансеризацию в рамках 1 и 2 этапов на сумму 454,8 млн. рублей, из них на территории страхования - 454,6 млн. рублей. 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реализации профилактических медицинских осмотров взрослого населения на январь-март 2026 года установлен в размере 27 669 человек.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Фактически осмотрено 112 % от утвержденного плана или 30 994 человек. Общая сумма за проведение профилактических медицинских осмотров, принятая к оплате за январь-март 2026 года, составила 39,6 млн. рублей. 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проведению профилактических медицинских осмотров несовершеннолетних на январь-март 2026 года установлен в количестве 70 753 человека. Фактически осмотрено 78 888 человек или 111,5% от утвержденного плана,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сумма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принятая к оплате составила 165,7 млн. рублей. Из 19 медицинских организаций, проводивших профилактические медицинские осмотры несовершеннолетних, не выполнили установленный план - 2 МО,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Добровская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- 83%;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«Задонская ЦРБ» - 99%;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766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диспансеризации детей-сирот, усыновленных и принятых под опеку на январь-март 2026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составил 477 челов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ек. Фактически осмотрено 106,3% от утвержденного плана или 507 человек на сумму 3,0 млн. рублей. Из 19 медицинских организаций, проводивших диспансеризацию детей-сирот, усыновленных и принятых под опеку, не выполнили установленный план - 4 МО,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«Липецкая городская детская больница»  - 98%;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«Елецкая городская детская больница» - 46%;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«Задонская ЦРБ» -72%;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ГУЗ «Лебедянская ЦРБ» - 87%;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диспансеризации детей-сирот, пребывающих в стационарных учреждениях за 3 месяца 2026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составил 371 человек. Фактически обследовано 327 детей, что составило 88,1% от утвержденного плана, на сумму 2,0 млн. рублей.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Число пациентов, подлежащих диспансерному наблюдению за I квартал 2026 года составило 71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249 человек. Получили услуги по диспансерному наблюдению 71 397 человек или 100% от планового показателя. В I квартале 2026 года проведено 79 628 комплексных посещений по диспансерному наблюдению, что составляет 106% от планового объема (75 286 посещений)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66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I квартал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2026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года медицинскими организациями Лип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ецкой области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казана медицинская помощь 9 090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иногородним пациентам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на общую сумму 108,2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млн. рублей, которая оплачена по предъявленным счетам и реестрам в полном объеме.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акушерство и гинекология – 95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3 случая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сумму 7,8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кардиология – 301 случай на сумму 6,8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нефрология – 170 случаев на сумму 2,7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неврология – 672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случая на сумму 8,7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онкология - 233 случая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 сумму 7,2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рублей (в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 химиотерапия – 31 случай на сумму 2,0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офтальмология – 1 601 случай на сумму 23,4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травматология и ортопедия – 74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 случай на сум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му 5,3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I квартал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2026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года территориальными фондами ОМС других субъектов РФ предъявлено счетов и реестров за ока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занную медицинскую помощь 7 703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пациентам, застрахованным на территори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 Липецкой области, на сумму 212,6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в том числе по высокотехнологичной медицинской помощи – 22,6 млн. руб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лей. Оплачено за январь-март 2026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 – 212,6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 Задолже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нность по оплате счетов на 01.04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.2026 отсутствует.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Медицинскими организациями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а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кушерство и гинекология – 598 случаев на сумму 5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,5 млн. рублей (в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т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.ч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. ЭКО - 11 случаев на сумму 1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,2 млн. рублей);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инфекционные болезни – 215 случаев на сумму 3,7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кардиология – 278 случаев на сумму 10,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5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медицинская реабилитация – 62 случая на сумму 4,7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неврология – 332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случая на сумму 6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,8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 нейрохирургия – 109 случаев на сумму 4,2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онкология – 2 634 случая на сумму 88,4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 (в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т.ч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. -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химиотерапия – 247 случаев на сумму 70,5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млн. рублей);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офтальмология – 547 случаев на сумму 3,2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сер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дечно-сосудистая хирургия – 64 случая на сумму 8,1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т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равматология и ортопедия – 752 случая на сумму 18,3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урол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огия – 160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случаев на сумму 3,0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Расходы медицинских организаций за январь-март 2026 года составили 5 103,9 млн. рублей, что выше показателя прошлого года на 9,7% или 452,1 млн. рублей (4 651,8 млн. рублей), в том числе: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на оплату труда с начислениями – 3 573,5 млн. рублей, что составляет 110,2% от уровня прошлого года (3 243,5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за медикаменты – 741,6 млн. рублей, что ниже на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2,5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% уровня прошлого года (760,3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за продукты питания – 62,4 млн. рублей, что ниже показателя прошлого года на 0,4% (62,7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расходы, услуги по содержанию имущества – 116,3 млн. рублей, что выше уровня прошлого года на 27,9% (90,9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коммунальных услуг – 260,4 млн. рублей, что выше уровня прошлого года на 49,2% (174,5 млн. рублей).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eastAsia="Times New Roman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арендная плата за пользование имуществом – 66,6 млн. рублей, что выше уровня показателя прошлого года на 7,6% или на 4,7 млн. рублей (61,9 млн. рублей).</w:t>
      </w:r>
      <w:r>
        <w:rPr>
          <w:rFonts w:eastAsia="Times New Roman"/>
          <w:highlight w:val="none"/>
        </w:rPr>
      </w:r>
      <w:r>
        <w:rPr>
          <w:rFonts w:eastAsia="Times New Roman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заработную плату с начислениями – 70,0%, при этом темпы роста данных расходов в сравнении с предыдущим периодом не превышают темпы роста по другим видам расходов (рост расходов по оплате коммунальных услуг – 49,2%, расходов на содержание имуществом 27,9%).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2"/>
        <w:ind w:left="0"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Наиболее высокий темп роста расходов мед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ицинских организаций за 2026 год наблюдается по расходам на коммунальные услуги – 149,2% и по расходам на содержание имущества – 127,9%, при этом доля этих расходов в общем объеме расходов медицинских организаций незначительна – 5,1% и 2,3% соответственно.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3 месяца 2026 года составила 61,85 тыс. рублей, что на 10,6% выше аналогичного показателя прошлого года (55,90 тыс. рублей) в том числе: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4,1% и составила 61,08 тыс. рублей (январь-март 2025 года – 58,67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стационарном звене рост средней зарплаты медицинских работников составил 14 % - 83,45 тыс. рублей (январь-март 2025 года – 73,19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69,21 тыс. рублей, рост – 8,9 % (январь-март 2025 года – 63,56 тыс. рублей).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по категориям персонала в отчетном периоде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врачебным кадрам средняя зарплата увеличилась на 8,8% и составила 108,49 тыс. рублей (99,73 тыс. рублей за 3 месяца 2025 года);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среднему медицинскому персоналу средняя заработная плата составила 59,81 тыс. рублей (за 3 месяца 2025 года - 55,46 тыс. рублей), увеличение произошло на 7,8%;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младшему медицинскому персоналу средняя зарплата увеличилась на 16,3% и составила 60,22 тыс. рублей (показатель за 3 месяца 2025 года был равен 51,79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прочему персоналу средняя заработная плата достигла уровня 39,50 тыс. рублей, за 3 месяца 2025 года данный показатель составлял 34,77 тыс. рублей, т.е. динамика роста составила + 13,6%;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АУП средняя зарплата увеличилась на 13,3% и составила 92,8 тыс. рублей (уровень за январь-март 2025 года составлял - 81,93 тыс. рублей).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го запаса, на 2026 год был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29 69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7,16 тыс. рублей, в том числе на дополнительное профессиональное образование медицинских работников – 77,8 тыс. рублей, на проведение ремонта медицинского оборудования – 631,56 тыс. рублей, на приобретение медицинского оборудования – 28 987,8 тыс. рублей.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1 квартале 2026 года подписаны соглашения о финансовом обеспечен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с 5 медицинскими организациями Липецкой области.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Распоряжением Правительства Российской Федерации от 10.12.2025 № 3685-р в целях реализации пункта 4 части 6 статьи 26 Федерального закона № 326-ФЗ «Об обязательном медицинском страховании в Российской Федерации» для Липецкой области на 2026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год  предусмотрено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финансовое обеспечение в размере 69 568,2 тыс. рублей на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софинансирование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расходов медицинских организаций на оплату труда врачей и среднего медицинского персонала за счет средств нормированного страхового запаса.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течение 3 месяцев 2026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в медицинские организации в соответствии с их заявками было направлено 1 633,1 тыс. рублей. Из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3 месяца 2026 года </w:t>
      </w:r>
      <w:r>
        <w:rPr>
          <w:rFonts w:ascii="Times New Roman" w:hAnsi="Times New Roman"/>
          <w:sz w:val="28"/>
          <w:szCs w:val="28"/>
          <w:highlight w:val="none"/>
        </w:rPr>
        <w:t xml:space="preserve">осуществлено финансирование заработной платы 23 медицинских работников (в том числе 10 врачей и 13 человек среднего медицинского персонала).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 2026 год, распоряжением правительства РФ от 12.12.2025 № 3764-р на реализацию мероприятий по осуществлению денежных выплат стимулирующего характера медицинским работникам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выявление онкологических заболеваний в ходе проведения диспансеризации и профилактических медицинских осмотров населения выделено 263,8 тыс. рублей. За I квартал 2026 года в медицинские организации области перечислено 51,6 тыс. рублей (20%) - 3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 случай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 </w:t>
      </w:r>
      <w:r>
        <w:rPr>
          <w:highlight w:val="none"/>
        </w:rPr>
      </w:r>
      <w:r>
        <w:rPr>
          <w:highlight w:val="none"/>
        </w:rPr>
      </w:r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план проверок на 1 квартал 2026 года включены 9 медицинских организаций и 2 страховые медицинские организации.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За период январь - март 2026 года проведено 12 проверок, в том числе: в медицинских организациях — 9 плановых проверок,</w:t>
      </w:r>
      <w:r>
        <w:rPr>
          <w:rFonts w:ascii="Times New Roman" w:hAnsi="Times New Roman" w:eastAsia="Calibri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в страховых медицинских организациях - 2 плановые комплексные проверки, и 1 внеплановая проверка. В страховых медицинских организациях 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внеплановая проверка</w:t>
      </w:r>
      <w:r>
        <w:rPr>
          <w:rFonts w:ascii="Times New Roman" w:hAnsi="Times New Roman"/>
          <w:color w:val="000000"/>
          <w:sz w:val="28"/>
          <w:szCs w:val="28"/>
          <w:highlight w:val="none"/>
        </w:rPr>
        <w:t xml:space="preserve"> осуществлялась в связи с обращением страховой медицинской организации в территориальный фонд с заявкой на предоставление недостающих средств для оплаты медицинской помощи в рамках территориальной программы обязательного медицинского страхования. 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709" w:leader="none"/>
        </w:tabs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Остаток не восстановленных средств ОМС по состоянию на 01.01.2026 года составил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8 063,1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рублей.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проверок за 1 квартал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года </w:t>
      </w:r>
      <w:r>
        <w:rPr>
          <w:rFonts w:ascii="Times New Roman" w:hAnsi="Times New Roman" w:cs="Times New Roman"/>
          <w:sz w:val="28"/>
          <w:szCs w:val="28"/>
        </w:rPr>
        <w:t xml:space="preserve">в медицинских организациях выявлено использование средств обязательного медицинского страхования с нарушениями (нецелевое использование средств ОМС) на сумму 3 436,3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 рублей: </w:t>
      </w:r>
      <w:r/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«Оплата расходов, не включенных в структуру тарифа на оплату медицинской помощи в рамках территориальной программы ОМС» - 3 355,7 тыс.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ублей. или 97,7% от выявленной суммы нецелевого использования средств ОМС: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- 81,7 тыс. рублей - обучение по темам, не связанным с оказанием медицинской помощи в рамках территориальной программы ОМС;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- 1 449,9 тыс. рублей - оплата труда специалиста по социальной работе;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- 140,7 тыс. рублей - оплата командировочных расходов, не связанных с оказанием медицинской помощи;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- 110,0 тыс. рублей — работы капитального характера;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- 1 573,4 тыс. рублей. – выплаты выходного пособия при увольнении, предусмотренные статьей 178 ТК РФ.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«Финансирование структурных подразделений медицинских организаций, финансируемых из иных источников» - 80,6 тыс. рублей, или 2,3% от выявленной суммы нецелевого использования средств ОМС: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</w:rPr>
        <w:t xml:space="preserve">- 80,6 тыс. рублей - оплата труда специалиста по связям с общественностью.</w:t>
      </w:r>
      <w:r/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/>
          <w:sz w:val="28"/>
          <w:szCs w:val="28"/>
          <w:lang w:eastAsia="zh-CN"/>
          <w14:ligatures w14:val="none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Возвращено в бюджет ТФОМС Липецкой области в </w:t>
      </w:r>
      <w:r>
        <w:rPr>
          <w:rFonts w:ascii="Times New Roman" w:hAnsi="Times New Roman"/>
          <w:sz w:val="28"/>
          <w:szCs w:val="28"/>
        </w:rPr>
        <w:t xml:space="preserve">соответствии с требованиями Федерального закона от 29.11.2010 № 326-ФЗ «Об обязательном меди</w:t>
      </w:r>
      <w:r>
        <w:rPr>
          <w:rFonts w:ascii="Times New Roman" w:hAnsi="Times New Roman"/>
          <w:sz w:val="28"/>
          <w:szCs w:val="28"/>
          <w:lang w:eastAsia="zh-CN"/>
        </w:rPr>
        <w:t xml:space="preserve">цинском страховании в Российской Федерации»  в 1 квартале 2026года - 1 976,1 </w:t>
      </w:r>
      <w:r>
        <w:rPr>
          <w:rFonts w:ascii="Times New Roman" w:hAnsi="Times New Roman"/>
          <w:sz w:val="28"/>
          <w:szCs w:val="28"/>
          <w:lang w:eastAsia="zh-CN"/>
        </w:rPr>
        <w:t xml:space="preserve">тыс. </w:t>
      </w:r>
      <w:r>
        <w:rPr>
          <w:rFonts w:ascii="Times New Roman" w:hAnsi="Times New Roman"/>
          <w:sz w:val="28"/>
          <w:szCs w:val="28"/>
          <w:lang w:eastAsia="zh-CN"/>
        </w:rPr>
        <w:t xml:space="preserve">рублей.</w:t>
      </w:r>
      <w:r>
        <w:rPr>
          <w:rFonts w:ascii="Times New Roman" w:hAnsi="Times New Roman"/>
          <w:sz w:val="28"/>
          <w:szCs w:val="28"/>
          <w:lang w:eastAsia="zh-CN"/>
          <w14:ligatures w14:val="none"/>
        </w:rPr>
      </w:r>
      <w:r>
        <w:rPr>
          <w:rFonts w:ascii="Times New Roman" w:hAnsi="Times New Roman"/>
          <w:sz w:val="28"/>
          <w:szCs w:val="28"/>
          <w:lang w:eastAsia="zh-CN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Остаток не восстановленных средств по состоянию на 01.04.2026 составил 9 523,3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Остаток задолженности по штрафам, пеням по состоянию на 01.01.2026 составлял 1 991,4 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Сумма предъявленных штрафов, пеней за использование с нарушениями средств ОМС по результатам проверок деятельности медицинских организаций в сфере обязательного медицинского страхования за 1 квартал2026 год составила 481,7 тыс. рублей, в том числе: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штрафы за  использование с нарушениями средств ОМС — 343,6 тыс. рублей, 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пени за каждый день просрочки невосстановленных своевременно средств ОМС - 138,1тыс.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Сумма средств от применения штрафов, пеней по результатам проверок медицинских организаций в отчетном периоде перечислена на счет ТФОМС Липецкой области в размере - 296,5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Остаток задолженности по штрафам, пеням за использование с нарушениями средств ОМС по результатам проверок отчетного периода по состоянию на 01.04.2026 составил 2 176,6 тыс. рублей: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сумма штрафов – 1 573,1тыс. рублей;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 сумма пени - 603,5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аток задолженности по штрафам, пеням за нарушение договорных обязательств по договору о финансовом обеспечении обязательного медицинского страхования по результатам проверок страховых медицинских организаций по состоянию на 01.01.2026 составлял 660,5 тыс.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рублей.</w:t>
      </w:r>
      <w:r/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Предъявлено штрафов за нарушение договорных обязательств в 1 кварта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2026 года на сумму — 12,7 тыс. рублей;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Получено  в 1 квартале 2026 года штрафов за нарушение договорных обязательств в размере 218,1 тыс. рублей.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Решением Арбитражного суда Липецкой области по делу № А36 -6380/2025 с ООО «Капитал Медицинское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страхование»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пользу ТФОМС Липецкой области подлежит взысканию штраф в размере 205 390,00 рубля. Размер штрафа, подлежащий взысканию со страховой медицинской организации уменьшен с 410 780 рублей 30 копеек до 205 390,00 рублей (списано по решению суда 205390,00 рублей).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состоянию на 01.04.2026 по результатам проверок страховых медицинских организаций остаток не оплаченных штрафов за нарушение договорных обязательств составил 249,7 тыс. рублей.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результатам проведенных в 1 квартале 2026 года проверок медицинских организаций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финансовые потери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результате частичной или полной неоплаты медицинской помощи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(в соответствии с Перечнем оснований для частичной или полной неоплаты медицинской помощи по ре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зультатам медико-экономического контроля, медико-экономической экспертизы, экспертизы качества медицинской помощи)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составили 30 892,9 тыс. рублей.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pStyle w:val="766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ходе контрольных мероприятий за 1 квартал 2026 года были установлены нарушения, приведшие к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неэффективному использованию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 ОМС на сумму 10 801,1 тыс. рублей - оплата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помощи.</w:t>
      </w:r>
      <w:r/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организаций.</w:t>
      </w:r>
      <w:r/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Выявленные при проверках нарушения приводят к отвлечению средств обязательного медицинского страхования, снижению финансовой устойчивости и частично к образованию кредиторской задолженности в медицинских организациях.</w:t>
      </w:r>
      <w:r/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Исключение в медицинских организаци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ях фактов использования с нарушениями средств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/>
    </w:p>
    <w:p>
      <w:pPr>
        <w:pStyle w:val="766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Руководителям медицинских организаций необходимо принять меры по усилению финансовой дисциплины. Недопустимость использования с нарушениями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средств  ОМС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медицинскими организациями следует признать одним из основополагающих принципов деятельности указанных субъектов, соблюдение которого частично гарантирует достижение поставленных перед ними задач.</w:t>
      </w:r>
      <w:r/>
    </w:p>
    <w:p>
      <w:pPr>
        <w:ind w:firstLine="53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Приказом Минфина России от 26.09.2024 № 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установлены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ероприятия по недопущению образования 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осроченной дебиторской задолженности по доходам, в том числе урегулирование дебиторской задолженности в досудебном порядке (со дня истечения срока уплаты соответствующего платежа в бюджет (пеней, штрафов) до начала работы по их принудительному взысканию,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также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 Федерации</w:t>
      </w:r>
      <w:r>
        <w:t xml:space="preserve">.</w:t>
      </w:r>
      <w:r/>
    </w:p>
    <w:p>
      <w:pPr>
        <w:ind w:firstLine="53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1 квартале 2026 года в рамках осуществления контрольно-ревизионной деятельности в пользу ТФОМС Липецкой области приняты следующие судебные акты:</w:t>
      </w:r>
      <w:r/>
    </w:p>
    <w:p>
      <w:pPr>
        <w:ind w:left="57" w:right="-209" w:firstLine="651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</w:pPr>
      <w:r>
        <w:rPr>
          <w:rFonts w:ascii="Tempora LGC Uni" w:hAnsi="Tempora LGC Uni" w:eastAsia="Times New Roman" w:cs="Times New Roman"/>
          <w:color w:val="000000"/>
          <w:sz w:val="28"/>
          <w:szCs w:val="28"/>
        </w:rPr>
        <w:t xml:space="preserve">- </w:t>
      </w:r>
      <w:r>
        <w:rPr>
          <w:rFonts w:ascii="Tempora LGC Uni" w:hAnsi="Tempora LGC Uni" w:eastAsia="Times New Roman" w:cs="Times New Roman"/>
          <w:sz w:val="28"/>
          <w:szCs w:val="28"/>
        </w:rPr>
        <w:t xml:space="preserve">Решением Арбитражного </w:t>
      </w:r>
      <w:r>
        <w:rPr>
          <w:rFonts w:ascii="Tempora LGC Uni" w:hAnsi="Tempora LGC Uni" w:eastAsia="Times New Roman" w:cs="Times New Roman"/>
          <w:sz w:val="28"/>
          <w:szCs w:val="28"/>
        </w:rPr>
        <w:t xml:space="preserve">суда </w:t>
      </w:r>
      <w:r>
        <w:rPr>
          <w:rFonts w:ascii="Tempora LGC Uni" w:hAnsi="Tempora LGC Uni" w:eastAsia="Times New Roman" w:cs="Times New Roman"/>
          <w:sz w:val="28"/>
          <w:szCs w:val="28"/>
        </w:rPr>
        <w:t xml:space="preserve">Липецкой области от 11.03.2026 по делу № А36-7829/2024 отказано в удовлетворении заявления ООО «Промышленная Медицинская Компания - Медицинский Центр» в размере: нецелевое использование средств ОМС - 626,8 тыс. рублей, штрафные санкции - 484,6 тыс. рублей.</w:t>
      </w:r>
      <w:r/>
    </w:p>
    <w:p>
      <w:pPr>
        <w:ind w:right="-209" w:firstLine="54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tabs>
          <w:tab w:val="left" w:pos="10063" w:leader="none"/>
        </w:tabs>
      </w:pPr>
      <w:r>
        <w:rPr>
          <w:rFonts w:ascii="Tempora LGC Uni" w:hAnsi="Tempora LGC Uni" w:cs="Times New Roman"/>
          <w:sz w:val="28"/>
          <w:szCs w:val="28"/>
          <w:lang w:eastAsia="ru-RU"/>
        </w:rPr>
        <w:t xml:space="preserve">- Решением Арбитражного суд</w:t>
      </w:r>
      <w:r>
        <w:rPr>
          <w:rFonts w:ascii="Tempora LGC Uni" w:hAnsi="Tempora LGC Uni" w:cs="Times New Roman"/>
          <w:sz w:val="28"/>
          <w:szCs w:val="28"/>
          <w:lang w:eastAsia="ru-RU"/>
        </w:rPr>
        <w:t xml:space="preserve">а Л</w:t>
      </w:r>
      <w:r>
        <w:rPr>
          <w:rFonts w:ascii="Tempora LGC Uni" w:hAnsi="Tempora LGC Uni" w:cs="Times New Roman"/>
          <w:sz w:val="28"/>
          <w:szCs w:val="28"/>
          <w:lang w:eastAsia="ru-RU"/>
        </w:rPr>
        <w:t xml:space="preserve">ипецкой области от 31.03.2026 по делу № А36-10614/2025 отказано в удовлетворении заявления ГУЗ «Липецкая областная клиническая больница» в размере 194,9 тыс. рублей по вопросу уплаты пени за несвоевременный возврат использованных с нарушениями средств ОМС.</w:t>
      </w:r>
      <w:r>
        <w:rPr>
          <w:rFonts w:ascii="Tempora LGC Uni" w:hAnsi="Tempora LGC Uni" w:cs="Times New Roman"/>
          <w:b/>
          <w:bCs/>
          <w:sz w:val="28"/>
          <w:szCs w:val="28"/>
          <w:lang w:eastAsia="ru-RU"/>
        </w:rPr>
      </w:r>
      <w:r/>
    </w:p>
    <w:p>
      <w:pPr>
        <w:ind w:firstLine="53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По результатам 3 месяцев 2026 года - на 01.04.2026г. просроченная кредиторская задо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лженность увеличилась и составляет 17 799,30 тыс. рублей. По состоянию на 01.01.2026 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отсутствовала.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январь-</w:t>
      </w:r>
      <w:r>
        <w:rPr>
          <w:sz w:val="28"/>
          <w:szCs w:val="28"/>
          <w:highlight w:val="none"/>
        </w:rPr>
        <w:t xml:space="preserve">март 2026</w:t>
      </w:r>
      <w:r>
        <w:rPr>
          <w:sz w:val="28"/>
          <w:szCs w:val="28"/>
          <w:highlight w:val="none"/>
        </w:rPr>
        <w:t xml:space="preserve"> года ТФОМС и СМО было рассмотрено 20 030 обраще</w:t>
      </w:r>
      <w:r>
        <w:rPr>
          <w:sz w:val="28"/>
          <w:szCs w:val="28"/>
          <w:highlight w:val="none"/>
        </w:rPr>
        <w:t xml:space="preserve">ний. В сравнении с аналогичным </w:t>
      </w:r>
      <w:r>
        <w:rPr>
          <w:sz w:val="28"/>
          <w:szCs w:val="28"/>
          <w:highlight w:val="none"/>
        </w:rPr>
        <w:t xml:space="preserve">периодом 2025</w:t>
      </w:r>
      <w:r>
        <w:rPr>
          <w:sz w:val="28"/>
          <w:szCs w:val="28"/>
          <w:highlight w:val="none"/>
        </w:rPr>
        <w:t xml:space="preserve"> года количество обращений уменьшилось на 2,7 тысяч обращений.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Всего обращений за разъяснениями, в том числе заявлений, 19 963, 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просам выбора и/или замены СМО, включения в единый регистр застрахованных, обеспечения выдачи полисов, о переоформлении полиса ОМС, запросов на предоставление выписки из ЕРЗЛ сведений о полисе ОМС - 16802 или 84%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январь-март 2026 года поступило 60 </w:t>
      </w:r>
      <w:r>
        <w:rPr>
          <w:sz w:val="28"/>
          <w:szCs w:val="28"/>
          <w:highlight w:val="none"/>
        </w:rPr>
        <w:t xml:space="preserve">жалоб или</w:t>
      </w:r>
      <w:r>
        <w:rPr>
          <w:sz w:val="28"/>
          <w:szCs w:val="28"/>
          <w:highlight w:val="none"/>
        </w:rPr>
        <w:t xml:space="preserve"> 0,3% от общего числа обращений; в 2025 году данный показатель 63 (0,3%).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Все жалобы рассмотрены в досудебном порядке, в установленные законом сроки, обоснованными </w:t>
      </w:r>
      <w:r>
        <w:rPr>
          <w:sz w:val="28"/>
          <w:szCs w:val="28"/>
          <w:highlight w:val="none"/>
        </w:rPr>
        <w:t xml:space="preserve">признано 44</w:t>
      </w:r>
      <w:r>
        <w:rPr>
          <w:sz w:val="28"/>
          <w:szCs w:val="28"/>
          <w:highlight w:val="none"/>
        </w:rPr>
        <w:t xml:space="preserve"> (73%), за аналогичный период 2025 года 48 жалоб (76%) были признаны обоснованными.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Структура обоснованных жалоб по причинам сложилась следующим обра</w:t>
      </w:r>
      <w:r>
        <w:rPr>
          <w:sz w:val="28"/>
          <w:szCs w:val="28"/>
          <w:highlight w:val="none"/>
        </w:rPr>
        <w:t xml:space="preserve">зом: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- 13 жалоб (30%) на качество медицинской помощи;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ab/>
        <w:t xml:space="preserve">- 5 жалоб (11%) на организацию работы медицинской организации;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ab/>
        <w:t xml:space="preserve">- 24 жалобы (55%) на недостоверные сведения об оказанных медицинских услугах;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- 1 жалоба (2%) на отказ в оказании медицинской помощи;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- 1 жалоба (2%) другие причины.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отчетный период в СМО поступило 7 благодарностей от застрахованных лиц.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контроля объемов, сроков, качества и условий оказания медицин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ской помощи, оказанной медицинскими организациями Липецкой области, спе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циалистами СМО в отчетном периоде проводи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лись экспертные мероприятия в соответствии с действующими нормативными ак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тами.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период январь-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март  2026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года подвергнуто экспертизам 31,4 тыс. страховых случаев медицинской помощи, оказанных гражданам, застрахованным на территории Липецкой области, в том числе в ходе плановых проверок 10,1 тысяч.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медико-экономических экспертиз (МЭЭ) за январь-март 2026 года было проанализировано 24,6 тыс. случаев оказания медицинской помощи, в том числе при целевых проверках 16,1 тыс. случаев.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результате МЭЭ было установлено 4 820 нарушений (20%), отмечается уменьшение количества дефектов в сравнении с аналогичным периодом 2025 года, </w:t>
      </w:r>
      <w:r>
        <w:rPr>
          <w:sz w:val="28"/>
          <w:szCs w:val="28"/>
          <w:highlight w:val="none"/>
        </w:rPr>
        <w:t xml:space="preserve">когда данный</w:t>
      </w:r>
      <w:r>
        <w:rPr>
          <w:sz w:val="28"/>
          <w:szCs w:val="28"/>
          <w:highlight w:val="none"/>
        </w:rPr>
        <w:t xml:space="preserve"> по</w:t>
      </w:r>
      <w:r>
        <w:rPr>
          <w:sz w:val="28"/>
          <w:szCs w:val="28"/>
          <w:highlight w:val="none"/>
        </w:rPr>
        <w:t xml:space="preserve">казатель составлял 34%.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2 006 или 42% от общего количества нарушений (финансовые санкции – 7,1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), в аналогичном периоде 2025 года количество данных нарушений составляло 21%.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«несоответствие данных первичной медицинской документации данным реестра счетов</w:t>
      </w:r>
      <w:r>
        <w:rPr>
          <w:sz w:val="28"/>
          <w:szCs w:val="28"/>
          <w:highlight w:val="none"/>
        </w:rPr>
        <w:t xml:space="preserve">», составило</w:t>
      </w:r>
      <w:r>
        <w:rPr>
          <w:sz w:val="28"/>
          <w:szCs w:val="28"/>
          <w:highlight w:val="none"/>
        </w:rPr>
        <w:t xml:space="preserve"> – 2 458 или 51% от общего количества нарушений (финансовые санкции – 17,1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), в аналогичном периоде 2025 года количество данных нарушений составляло 69%.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«наличие признаков искажения сведений в медицинской документации» составило 272 или 6% (финансовые санкции – 4 </w:t>
      </w:r>
      <w:r>
        <w:rPr>
          <w:sz w:val="28"/>
          <w:szCs w:val="28"/>
          <w:highlight w:val="none"/>
        </w:rPr>
        <w:t xml:space="preserve">млн. рублей</w:t>
      </w:r>
      <w:r>
        <w:rPr>
          <w:sz w:val="28"/>
          <w:szCs w:val="28"/>
          <w:highlight w:val="none"/>
        </w:rPr>
        <w:t xml:space="preserve">), в аналогичном периоде 2025 года количество данных нарушений составляло 4,2%.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</w:t>
      </w:r>
      <w:r>
        <w:rPr>
          <w:sz w:val="28"/>
          <w:szCs w:val="28"/>
          <w:highlight w:val="none"/>
        </w:rPr>
        <w:t xml:space="preserve">», составило</w:t>
      </w:r>
      <w:r>
        <w:rPr>
          <w:sz w:val="28"/>
          <w:szCs w:val="28"/>
          <w:highlight w:val="none"/>
        </w:rPr>
        <w:t xml:space="preserve"> – 61 или 1,3% от общего количества нарушений (финансовые санкции – 78,3 тыс. рублей), в аналогичном периоде 2025 года количество данных нарушений составляло 6%.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0"/>
        <w:spacing w:before="0" w:beforeAutospacing="0" w:after="0" w:afterAutospacing="0" w:line="283" w:lineRule="atLeast"/>
        <w:shd w:val="clear" w:color="ffffff" w:themeColor="background1" w:fill="ffffff" w:themeFill="background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ходе </w:t>
      </w:r>
      <w:r>
        <w:rPr>
          <w:sz w:val="28"/>
          <w:szCs w:val="28"/>
          <w:highlight w:val="none"/>
        </w:rPr>
        <w:t xml:space="preserve">экспертиз качества</w:t>
      </w:r>
      <w:r>
        <w:rPr>
          <w:sz w:val="28"/>
          <w:szCs w:val="28"/>
          <w:highlight w:val="none"/>
        </w:rPr>
        <w:t xml:space="preserve"> медицинской помощи (ЭКМП) было проанализировано 6,8 тыс. слу</w:t>
      </w:r>
      <w:r>
        <w:rPr>
          <w:sz w:val="28"/>
          <w:szCs w:val="28"/>
          <w:highlight w:val="none"/>
        </w:rPr>
        <w:t xml:space="preserve">чаев оказания медицинской помощи, в том числе при целевых проверках – 5,2 тыс. случаев.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результате ЭКМП было установлено 1 803 нарушения (26%), за аналогичный период 2025 года данный показатель составлял 35%.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Наибольшее количество нарушений – «невыполнение, несвоевременное или ненадлежащее выполнение необходимых пациенту диагностических и (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- 769 или 43% от общего количества нарушений (финансовые санкции – 2,6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млн.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), в том числе при проведении диспансеризации определенных групп взрослого населения – 180 (23%).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количество их составило – 528 или 29% от общего количества нарушений, в том числе: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«несоответствие данных первичной медицинской документации данным реестра счетов», составило – 183 или 35% от количества нарушений из раздела 2, финансовые санкции – 4,6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млн.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«отсутствие в документации информированного добровольного согласия застрахованного лица на медицинское вмешательство», составило – 45 или 9% от количества нарушений из раздела 2, финансовые санкции – 195,4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190 или 36% от общего количества нарушений из раздела 2, финансовые санкции – 310,7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итогам МЭЭ и ЭКМП к медицинским организациям применены фи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совые санкции в размере 41,8 млн. рублей (2025 год – 30,6 млн. рублей).</w:t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I квартале 2026 года проведено 357 контрольно-экспертных мероприятий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337 медико-экономических эксперт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из, 20 экспертиз качества медицинской помощи. По результатам контрольно-экспертных мероприятий выявлено 3 дефекта.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57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период январь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-март 2026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57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Количество страховых случаев, подвергшихся повторной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МЭЭ,  составило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702, количество страховых случаев, подвергшихся повторной ЭКМП, составило 264, что соответствует требованиям приказа ФФОМС от 19.03.2021 №231н «Об утверждении Порядка проведения контроля объемов, сроков, ка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57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Установлены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нарушения 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3 случаях (0,3%), допущенные медицинскими организациями, но не выявленные СМО при первичном проведении экспертиз.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итогам повторных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экспертиз к СМО применены штрафные санкций в размере 916,26 рублей - 10% от суммы, необоснованно оплаченной медицинским организациям.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570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общественного мнения по удовлетворенности насел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за 1 квартал 2026 года составил 63%.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409020205020404"/>
  </w:font>
  <w:font w:name="Lohit Devanagari">
    <w:panose1 w:val="02000603000000000000"/>
  </w:font>
  <w:font w:name="Droid Sans">
    <w:panose1 w:val="020B0606030804020204"/>
  </w:font>
  <w:font w:name="Open Sans">
    <w:panose1 w:val="020B0606030504020204"/>
  </w:font>
  <w:font w:name="Tempora LGC Uni">
    <w:panose1 w:val="02020603050405020304"/>
  </w:font>
  <w:font w:name="Tahoma">
    <w:panose1 w:val="020B060604050402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7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58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59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0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2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4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5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66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67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68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71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674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75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paragraph" w:styleId="676" w:default="1">
    <w:name w:val="Normal"/>
    <w:qFormat/>
    <w:pPr>
      <w:spacing w:after="200" w:line="276" w:lineRule="auto"/>
    </w:pPr>
  </w:style>
  <w:style w:type="paragraph" w:styleId="677">
    <w:name w:val="Heading 1"/>
    <w:basedOn w:val="676"/>
    <w:next w:val="676"/>
    <w:link w:val="70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8">
    <w:name w:val="Heading 2"/>
    <w:basedOn w:val="676"/>
    <w:next w:val="676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9">
    <w:name w:val="Heading 3"/>
    <w:basedOn w:val="676"/>
    <w:next w:val="676"/>
    <w:link w:val="70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70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71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71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71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71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71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Caption Char"/>
    <w:basedOn w:val="686"/>
    <w:uiPriority w:val="35"/>
    <w:qFormat/>
    <w:rPr>
      <w:b/>
      <w:bCs/>
      <w:color w:val="4f81bd" w:themeColor="accent1"/>
      <w:sz w:val="18"/>
      <w:szCs w:val="18"/>
    </w:rPr>
  </w:style>
  <w:style w:type="character" w:styleId="690" w:customStyle="1">
    <w:name w:val="Heading 1 Char"/>
    <w:basedOn w:val="686"/>
    <w:uiPriority w:val="9"/>
    <w:qFormat/>
    <w:rPr>
      <w:rFonts w:ascii="Arial" w:hAnsi="Arial" w:eastAsia="Arial" w:cs="Arial"/>
      <w:sz w:val="40"/>
      <w:szCs w:val="40"/>
    </w:rPr>
  </w:style>
  <w:style w:type="character" w:styleId="691" w:customStyle="1">
    <w:name w:val="Heading 3 Char"/>
    <w:basedOn w:val="686"/>
    <w:uiPriority w:val="9"/>
    <w:qFormat/>
    <w:rPr>
      <w:rFonts w:ascii="Arial" w:hAnsi="Arial" w:eastAsia="Arial" w:cs="Arial"/>
      <w:sz w:val="30"/>
      <w:szCs w:val="30"/>
    </w:rPr>
  </w:style>
  <w:style w:type="character" w:styleId="692" w:customStyle="1">
    <w:name w:val="Heading 4 Char"/>
    <w:basedOn w:val="68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Heading 5 Char"/>
    <w:basedOn w:val="68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6 Char"/>
    <w:basedOn w:val="68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Heading 7 Char"/>
    <w:basedOn w:val="68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Heading 8 Char"/>
    <w:basedOn w:val="68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Heading 9 Char"/>
    <w:basedOn w:val="68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8" w:customStyle="1">
    <w:name w:val="Title Char"/>
    <w:basedOn w:val="686"/>
    <w:uiPriority w:val="10"/>
    <w:qFormat/>
    <w:rPr>
      <w:sz w:val="48"/>
      <w:szCs w:val="48"/>
    </w:rPr>
  </w:style>
  <w:style w:type="character" w:styleId="699" w:customStyle="1">
    <w:name w:val="Subtitle Char"/>
    <w:basedOn w:val="686"/>
    <w:uiPriority w:val="11"/>
    <w:qFormat/>
    <w:rPr>
      <w:sz w:val="24"/>
      <w:szCs w:val="24"/>
    </w:rPr>
  </w:style>
  <w:style w:type="character" w:styleId="700" w:customStyle="1">
    <w:name w:val="Quote Char"/>
    <w:uiPriority w:val="29"/>
    <w:qFormat/>
    <w:rPr>
      <w:i/>
    </w:rPr>
  </w:style>
  <w:style w:type="character" w:styleId="701" w:customStyle="1">
    <w:name w:val="Intense Quote Char"/>
    <w:uiPriority w:val="30"/>
    <w:qFormat/>
    <w:rPr>
      <w:i/>
    </w:rPr>
  </w:style>
  <w:style w:type="character" w:styleId="702" w:customStyle="1">
    <w:name w:val="Header Char"/>
    <w:basedOn w:val="686"/>
    <w:uiPriority w:val="99"/>
    <w:qFormat/>
  </w:style>
  <w:style w:type="character" w:styleId="703" w:customStyle="1">
    <w:name w:val="Название объекта Знак"/>
    <w:link w:val="736"/>
    <w:uiPriority w:val="99"/>
    <w:qFormat/>
  </w:style>
  <w:style w:type="character" w:styleId="704" w:customStyle="1">
    <w:name w:val="Footnote Text Char"/>
    <w:uiPriority w:val="99"/>
    <w:qFormat/>
    <w:rPr>
      <w:sz w:val="18"/>
    </w:rPr>
  </w:style>
  <w:style w:type="character" w:styleId="705" w:customStyle="1">
    <w:name w:val="Endnote Text Char"/>
    <w:uiPriority w:val="99"/>
    <w:qFormat/>
    <w:rPr>
      <w:sz w:val="20"/>
    </w:rPr>
  </w:style>
  <w:style w:type="character" w:styleId="706" w:customStyle="1">
    <w:name w:val="Заголовок 1 Знак"/>
    <w:basedOn w:val="686"/>
    <w:link w:val="677"/>
    <w:uiPriority w:val="9"/>
    <w:qFormat/>
    <w:rPr>
      <w:rFonts w:ascii="Arial" w:hAnsi="Arial" w:eastAsia="Arial" w:cs="Arial"/>
      <w:sz w:val="40"/>
      <w:szCs w:val="40"/>
    </w:rPr>
  </w:style>
  <w:style w:type="character" w:styleId="707" w:customStyle="1">
    <w:name w:val="Heading 2 Char"/>
    <w:basedOn w:val="686"/>
    <w:uiPriority w:val="9"/>
    <w:qFormat/>
    <w:rPr>
      <w:rFonts w:ascii="Arial" w:hAnsi="Arial" w:eastAsia="Arial" w:cs="Arial"/>
      <w:sz w:val="34"/>
    </w:rPr>
  </w:style>
  <w:style w:type="character" w:styleId="708" w:customStyle="1">
    <w:name w:val="Заголовок 3 Знак"/>
    <w:basedOn w:val="686"/>
    <w:link w:val="679"/>
    <w:uiPriority w:val="9"/>
    <w:qFormat/>
    <w:rPr>
      <w:rFonts w:ascii="Arial" w:hAnsi="Arial" w:eastAsia="Arial" w:cs="Arial"/>
      <w:sz w:val="30"/>
      <w:szCs w:val="30"/>
    </w:rPr>
  </w:style>
  <w:style w:type="character" w:styleId="709" w:customStyle="1">
    <w:name w:val="Заголовок 4 Знак"/>
    <w:basedOn w:val="686"/>
    <w:link w:val="68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Заголовок 5 Знак"/>
    <w:basedOn w:val="686"/>
    <w:link w:val="68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Заголовок 6 Знак"/>
    <w:basedOn w:val="686"/>
    <w:link w:val="68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Заголовок 7 Знак"/>
    <w:basedOn w:val="686"/>
    <w:link w:val="68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Заголовок 8 Знак"/>
    <w:basedOn w:val="686"/>
    <w:link w:val="68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Заголовок 9 Знак"/>
    <w:basedOn w:val="686"/>
    <w:link w:val="68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5" w:customStyle="1">
    <w:name w:val="Название Знак"/>
    <w:basedOn w:val="686"/>
    <w:link w:val="740"/>
    <w:uiPriority w:val="10"/>
    <w:qFormat/>
    <w:rPr>
      <w:sz w:val="48"/>
      <w:szCs w:val="48"/>
    </w:rPr>
  </w:style>
  <w:style w:type="character" w:styleId="716" w:customStyle="1">
    <w:name w:val="Подзаголовок Знак"/>
    <w:basedOn w:val="686"/>
    <w:link w:val="741"/>
    <w:uiPriority w:val="11"/>
    <w:qFormat/>
    <w:rPr>
      <w:sz w:val="24"/>
      <w:szCs w:val="24"/>
    </w:rPr>
  </w:style>
  <w:style w:type="character" w:styleId="717" w:customStyle="1">
    <w:name w:val="Цитата 2 Знак"/>
    <w:link w:val="742"/>
    <w:uiPriority w:val="29"/>
    <w:qFormat/>
    <w:rPr>
      <w:i/>
    </w:rPr>
  </w:style>
  <w:style w:type="character" w:styleId="718" w:customStyle="1">
    <w:name w:val="Выделенная цитата Знак"/>
    <w:link w:val="743"/>
    <w:uiPriority w:val="30"/>
    <w:qFormat/>
    <w:rPr>
      <w:i/>
    </w:rPr>
  </w:style>
  <w:style w:type="character" w:styleId="719" w:customStyle="1">
    <w:name w:val="Верхний колонтитул Знак"/>
    <w:basedOn w:val="686"/>
    <w:link w:val="746"/>
    <w:uiPriority w:val="99"/>
    <w:qFormat/>
  </w:style>
  <w:style w:type="character" w:styleId="720" w:customStyle="1">
    <w:name w:val="Footer Char"/>
    <w:basedOn w:val="686"/>
    <w:uiPriority w:val="99"/>
    <w:qFormat/>
  </w:style>
  <w:style w:type="character" w:styleId="721" w:customStyle="1">
    <w:name w:val="Нижний колонтитул Знак"/>
    <w:link w:val="747"/>
    <w:uiPriority w:val="99"/>
    <w:qFormat/>
  </w:style>
  <w:style w:type="character" w:styleId="722" w:customStyle="1">
    <w:name w:val="Текст сноски Знак"/>
    <w:link w:val="749"/>
    <w:uiPriority w:val="99"/>
    <w:qFormat/>
    <w:rPr>
      <w:sz w:val="18"/>
    </w:rPr>
  </w:style>
  <w:style w:type="character" w:styleId="723" w:customStyle="1">
    <w:name w:val="Символ сноски"/>
    <w:uiPriority w:val="99"/>
    <w:unhideWhenUsed/>
    <w:qFormat/>
    <w:rPr>
      <w:vertAlign w:val="superscript"/>
    </w:rPr>
  </w:style>
  <w:style w:type="character" w:styleId="724">
    <w:name w:val="footnote reference"/>
    <w:rPr>
      <w:vertAlign w:val="superscript"/>
    </w:rPr>
  </w:style>
  <w:style w:type="character" w:styleId="725" w:customStyle="1">
    <w:name w:val="Текст концевой сноски Знак"/>
    <w:link w:val="750"/>
    <w:uiPriority w:val="99"/>
    <w:qFormat/>
    <w:rPr>
      <w:sz w:val="20"/>
    </w:rPr>
  </w:style>
  <w:style w:type="character" w:styleId="72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27">
    <w:name w:val="endnote reference"/>
    <w:rPr>
      <w:vertAlign w:val="superscript"/>
    </w:rPr>
  </w:style>
  <w:style w:type="character" w:styleId="728" w:customStyle="1">
    <w:name w:val="Основной текст Знак"/>
    <w:basedOn w:val="686"/>
    <w:link w:val="734"/>
    <w:qFormat/>
    <w:rPr>
      <w:rFonts w:ascii="Times New Roman" w:hAnsi="Times New Roman" w:eastAsia="Times New Roman" w:cs="Times New Roman"/>
      <w:sz w:val="20"/>
      <w:szCs w:val="20"/>
    </w:rPr>
  </w:style>
  <w:style w:type="character" w:styleId="729" w:customStyle="1">
    <w:name w:val="Текст выноски Знак"/>
    <w:basedOn w:val="686"/>
    <w:link w:val="763"/>
    <w:uiPriority w:val="99"/>
    <w:semiHidden/>
    <w:qFormat/>
    <w:rPr>
      <w:rFonts w:ascii="Tahoma" w:hAnsi="Tahoma" w:cs="Tahoma"/>
      <w:sz w:val="16"/>
      <w:szCs w:val="16"/>
    </w:rPr>
  </w:style>
  <w:style w:type="character" w:styleId="730" w:customStyle="1">
    <w:name w:val="Основной текст_"/>
    <w:link w:val="764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731">
    <w:name w:val="Hyperlink"/>
    <w:basedOn w:val="686"/>
    <w:uiPriority w:val="99"/>
    <w:semiHidden/>
    <w:unhideWhenUsed/>
    <w:rPr>
      <w:color w:val="0000ff"/>
      <w:u w:val="single"/>
    </w:rPr>
  </w:style>
  <w:style w:type="character" w:styleId="732" w:customStyle="1">
    <w:name w:val="Заголовок 2 Знак"/>
    <w:basedOn w:val="686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33" w:customStyle="1">
    <w:name w:val="Заголовок"/>
    <w:basedOn w:val="676"/>
    <w:next w:val="734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34">
    <w:name w:val="Body Text"/>
    <w:basedOn w:val="676"/>
    <w:link w:val="728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735">
    <w:name w:val="List"/>
    <w:basedOn w:val="734"/>
    <w:rPr>
      <w:rFonts w:cs="Lohit Devanagari"/>
    </w:rPr>
  </w:style>
  <w:style w:type="paragraph" w:styleId="736">
    <w:name w:val="Caption"/>
    <w:basedOn w:val="676"/>
    <w:link w:val="703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37">
    <w:name w:val="index heading"/>
    <w:basedOn w:val="738"/>
  </w:style>
  <w:style w:type="paragraph" w:styleId="738" w:customStyle="1">
    <w:name w:val="Заголовок1"/>
    <w:basedOn w:val="676"/>
    <w:next w:val="734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739" w:customStyle="1">
    <w:name w:val="index heading1"/>
    <w:basedOn w:val="738"/>
    <w:qFormat/>
  </w:style>
  <w:style w:type="paragraph" w:styleId="740">
    <w:name w:val="Title"/>
    <w:basedOn w:val="676"/>
    <w:next w:val="676"/>
    <w:link w:val="715"/>
    <w:uiPriority w:val="10"/>
    <w:qFormat/>
    <w:pPr>
      <w:contextualSpacing/>
      <w:spacing w:before="300"/>
    </w:pPr>
    <w:rPr>
      <w:sz w:val="48"/>
      <w:szCs w:val="48"/>
    </w:rPr>
  </w:style>
  <w:style w:type="paragraph" w:styleId="741">
    <w:name w:val="Subtitle"/>
    <w:basedOn w:val="676"/>
    <w:next w:val="676"/>
    <w:link w:val="716"/>
    <w:uiPriority w:val="11"/>
    <w:qFormat/>
    <w:pPr>
      <w:spacing w:before="200"/>
    </w:pPr>
    <w:rPr>
      <w:sz w:val="24"/>
      <w:szCs w:val="24"/>
    </w:rPr>
  </w:style>
  <w:style w:type="paragraph" w:styleId="742">
    <w:name w:val="Quote"/>
    <w:basedOn w:val="676"/>
    <w:next w:val="676"/>
    <w:link w:val="717"/>
    <w:uiPriority w:val="29"/>
    <w:qFormat/>
    <w:pPr>
      <w:ind w:left="720" w:right="720"/>
    </w:pPr>
    <w:rPr>
      <w:i/>
    </w:rPr>
  </w:style>
  <w:style w:type="paragraph" w:styleId="743">
    <w:name w:val="Intense Quote"/>
    <w:basedOn w:val="676"/>
    <w:next w:val="676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4" w:customStyle="1">
    <w:name w:val="Колонтитул"/>
    <w:basedOn w:val="676"/>
    <w:qFormat/>
  </w:style>
  <w:style w:type="paragraph" w:styleId="745" w:customStyle="1">
    <w:name w:val="Header and Footer"/>
    <w:basedOn w:val="676"/>
    <w:qFormat/>
  </w:style>
  <w:style w:type="paragraph" w:styleId="746">
    <w:name w:val="Header"/>
    <w:basedOn w:val="676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47">
    <w:name w:val="Footer"/>
    <w:basedOn w:val="676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48" w:customStyle="1">
    <w:name w:val="caption1"/>
    <w:basedOn w:val="676"/>
    <w:next w:val="67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49">
    <w:name w:val="footnote text"/>
    <w:basedOn w:val="676"/>
    <w:link w:val="722"/>
    <w:uiPriority w:val="99"/>
    <w:semiHidden/>
    <w:unhideWhenUsed/>
    <w:pPr>
      <w:spacing w:after="40" w:line="240" w:lineRule="auto"/>
    </w:pPr>
    <w:rPr>
      <w:sz w:val="18"/>
    </w:rPr>
  </w:style>
  <w:style w:type="paragraph" w:styleId="750">
    <w:name w:val="endnote text"/>
    <w:basedOn w:val="676"/>
    <w:link w:val="725"/>
    <w:uiPriority w:val="99"/>
    <w:semiHidden/>
    <w:unhideWhenUsed/>
    <w:pPr>
      <w:spacing w:after="0" w:line="240" w:lineRule="auto"/>
    </w:pPr>
    <w:rPr>
      <w:sz w:val="20"/>
    </w:rPr>
  </w:style>
  <w:style w:type="paragraph" w:styleId="751">
    <w:name w:val="toc 1"/>
    <w:basedOn w:val="676"/>
    <w:next w:val="676"/>
    <w:uiPriority w:val="39"/>
    <w:unhideWhenUsed/>
    <w:pPr>
      <w:spacing w:after="57"/>
    </w:pPr>
  </w:style>
  <w:style w:type="paragraph" w:styleId="752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753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754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755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756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757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758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759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760">
    <w:name w:val="TOC Heading"/>
    <w:uiPriority w:val="39"/>
    <w:unhideWhenUsed/>
    <w:qFormat/>
    <w:pPr>
      <w:spacing w:after="200" w:line="276" w:lineRule="auto"/>
    </w:pPr>
  </w:style>
  <w:style w:type="paragraph" w:styleId="761">
    <w:name w:val="table of figures"/>
    <w:basedOn w:val="676"/>
    <w:next w:val="676"/>
    <w:uiPriority w:val="99"/>
    <w:unhideWhenUsed/>
    <w:pPr>
      <w:spacing w:after="0"/>
    </w:pPr>
  </w:style>
  <w:style w:type="paragraph" w:styleId="762">
    <w:name w:val="List Paragraph"/>
    <w:basedOn w:val="676"/>
    <w:uiPriority w:val="34"/>
    <w:qFormat/>
    <w:pPr>
      <w:contextualSpacing/>
      <w:ind w:left="720"/>
    </w:pPr>
  </w:style>
  <w:style w:type="paragraph" w:styleId="763">
    <w:name w:val="Balloon Text"/>
    <w:basedOn w:val="676"/>
    <w:link w:val="72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64" w:customStyle="1">
    <w:name w:val="Основной текст2"/>
    <w:basedOn w:val="676"/>
    <w:link w:val="730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765">
    <w:name w:val="Normal (Web)"/>
    <w:basedOn w:val="676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6">
    <w:name w:val="No Spacing"/>
    <w:uiPriority w:val="1"/>
    <w:qFormat/>
  </w:style>
  <w:style w:type="paragraph" w:styleId="767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numbering" w:styleId="768" w:customStyle="1">
    <w:name w:val="Без списка"/>
    <w:uiPriority w:val="99"/>
    <w:semiHidden/>
    <w:unhideWhenUsed/>
    <w:qFormat/>
  </w:style>
  <w:style w:type="table" w:styleId="769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0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1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2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3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4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5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3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86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9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0" w:customStyle="1">
    <w:name w:val="Таблица простая 31"/>
    <w:basedOn w:val="687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91" w:customStyle="1">
    <w:name w:val="Таблица простая 41"/>
    <w:basedOn w:val="687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92" w:customStyle="1">
    <w:name w:val="Таблица простая 51"/>
    <w:basedOn w:val="687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798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9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Список-таблица 1 светлая1"/>
    <w:basedOn w:val="687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02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3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4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5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08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09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0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1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2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3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16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17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8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21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4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25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7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8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9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30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1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2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35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36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7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0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43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4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6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7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8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0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54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55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6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59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2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3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5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6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7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9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3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74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5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8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9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0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1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82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3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4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5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86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87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8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92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93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4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7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1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3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4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05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06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8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11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12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3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6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9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20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2" w:customStyle="1">
    <w:name w:val="Заголовок 2 Знак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3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24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6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30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31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32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3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35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8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9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>
    <w:name w:val="Table Grid"/>
    <w:basedOn w:val="68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1" w:customStyle="1">
    <w:name w:val="Table Grid Light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42" w:customStyle="1">
    <w:name w:val="Таблица простая 11"/>
    <w:basedOn w:val="68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43" w:customStyle="1">
    <w:name w:val="Таблица простая 21"/>
    <w:basedOn w:val="68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44" w:customStyle="1">
    <w:name w:val="Таблица простая 3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45" w:customStyle="1">
    <w:name w:val="Таблица простая 4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46" w:customStyle="1">
    <w:name w:val="Таблица простая 51"/>
    <w:basedOn w:val="687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7" w:customStyle="1">
    <w:name w:val="Таблица-сетка 1 светлая1"/>
    <w:basedOn w:val="68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8" w:customStyle="1">
    <w:name w:val="Grid Table 1 Light - Accent 1"/>
    <w:basedOn w:val="68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9" w:customStyle="1">
    <w:name w:val="Grid Table 1 Light - Accent 2"/>
    <w:basedOn w:val="68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0" w:customStyle="1">
    <w:name w:val="Grid Table 1 Light - Accent 3"/>
    <w:basedOn w:val="68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1" w:customStyle="1">
    <w:name w:val="Grid Table 1 Light - Accent 4"/>
    <w:basedOn w:val="68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2" w:customStyle="1">
    <w:name w:val="Grid Table 1 Light - Accent 5"/>
    <w:basedOn w:val="68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3" w:customStyle="1">
    <w:name w:val="Grid Table 1 Light - Accent 6"/>
    <w:basedOn w:val="68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4" w:customStyle="1">
    <w:name w:val="Таблица-сетка 2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2 - Accent 1"/>
    <w:basedOn w:val="68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2 - Accent 2"/>
    <w:basedOn w:val="68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2 - Accent 3"/>
    <w:basedOn w:val="68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2 - Accent 4"/>
    <w:basedOn w:val="68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Grid Table 2 - Accent 5"/>
    <w:basedOn w:val="68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Grid Table 2 - Accent 6"/>
    <w:basedOn w:val="68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Таблица-сетка 31"/>
    <w:basedOn w:val="68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Grid Table 3 - Accent 1"/>
    <w:basedOn w:val="68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Grid Table 3 - Accent 2"/>
    <w:basedOn w:val="68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Grid Table 3 - Accent 3"/>
    <w:basedOn w:val="68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Grid Table 3 - Accent 4"/>
    <w:basedOn w:val="68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 w:customStyle="1">
    <w:name w:val="Grid Table 3 - Accent 5"/>
    <w:basedOn w:val="68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7" w:customStyle="1">
    <w:name w:val="Grid Table 3 - Accent 6"/>
    <w:basedOn w:val="68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Таблица-сетка 41"/>
    <w:basedOn w:val="68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69" w:customStyle="1">
    <w:name w:val="Grid Table 4 - Accent 1"/>
    <w:basedOn w:val="68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70" w:customStyle="1">
    <w:name w:val="Grid Table 4 - Accent 2"/>
    <w:basedOn w:val="68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71" w:customStyle="1">
    <w:name w:val="Grid Table 4 - Accent 3"/>
    <w:basedOn w:val="68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72" w:customStyle="1">
    <w:name w:val="Grid Table 4 - Accent 4"/>
    <w:basedOn w:val="68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73" w:customStyle="1">
    <w:name w:val="Grid Table 4 - Accent 5"/>
    <w:basedOn w:val="68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74" w:customStyle="1">
    <w:name w:val="Grid Table 4 - Accent 6"/>
    <w:basedOn w:val="68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75" w:customStyle="1">
    <w:name w:val="Таблица-сетка 5 темная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76" w:customStyle="1">
    <w:name w:val="Grid Table 5 Dark- Accent 1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77" w:customStyle="1">
    <w:name w:val="Grid Table 5 Dark - Accent 2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78" w:customStyle="1">
    <w:name w:val="Grid Table 5 Dark - Accent 3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79" w:customStyle="1">
    <w:name w:val="Grid Table 5 Dark- Accent 4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80" w:customStyle="1">
    <w:name w:val="Grid Table 5 Dark - Accent 5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81" w:customStyle="1">
    <w:name w:val="Grid Table 5 Dark - Accent 6"/>
    <w:basedOn w:val="68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82" w:customStyle="1">
    <w:name w:val="Таблица-сетк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83" w:customStyle="1">
    <w:name w:val="Grid Table 6 Colorful - Accent 1"/>
    <w:basedOn w:val="68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84" w:customStyle="1">
    <w:name w:val="Grid Table 6 Colorful - Accent 2"/>
    <w:basedOn w:val="68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85" w:customStyle="1">
    <w:name w:val="Grid Table 6 Colorful - Accent 3"/>
    <w:basedOn w:val="68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86" w:customStyle="1">
    <w:name w:val="Grid Table 6 Colorful - Accent 4"/>
    <w:basedOn w:val="68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87" w:customStyle="1">
    <w:name w:val="Grid Table 6 Colorful - Accent 5"/>
    <w:basedOn w:val="68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88" w:customStyle="1">
    <w:name w:val="Grid Table 6 Colorful - Accent 6"/>
    <w:basedOn w:val="68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89" w:customStyle="1">
    <w:name w:val="Таблица-сетка 7 цветная1"/>
    <w:basedOn w:val="68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0" w:customStyle="1">
    <w:name w:val="Grid Table 7 Colorful - Accent 1"/>
    <w:basedOn w:val="68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1" w:customStyle="1">
    <w:name w:val="Grid Table 7 Colorful - Accent 2"/>
    <w:basedOn w:val="68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2" w:customStyle="1">
    <w:name w:val="Grid Table 7 Colorful - Accent 3"/>
    <w:basedOn w:val="68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3" w:customStyle="1">
    <w:name w:val="Grid Table 7 Colorful - Accent 4"/>
    <w:basedOn w:val="68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4" w:customStyle="1">
    <w:name w:val="Grid Table 7 Colorful - Accent 5"/>
    <w:basedOn w:val="68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5" w:customStyle="1">
    <w:name w:val="Grid Table 7 Colorful - Accent 6"/>
    <w:basedOn w:val="68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6" w:customStyle="1">
    <w:name w:val="Список-таблица 1 светлая1"/>
    <w:basedOn w:val="687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List Table 1 Light - Accent 1"/>
    <w:basedOn w:val="687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 w:customStyle="1">
    <w:name w:val="List Table 1 Light - Accent 2"/>
    <w:basedOn w:val="687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 w:customStyle="1">
    <w:name w:val="List Table 1 Light - Accent 3"/>
    <w:basedOn w:val="687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 w:customStyle="1">
    <w:name w:val="List Table 1 Light - Accent 4"/>
    <w:basedOn w:val="687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 w:customStyle="1">
    <w:name w:val="List Table 1 Light - Accent 5"/>
    <w:basedOn w:val="687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 w:customStyle="1">
    <w:name w:val="List Table 1 Light - Accent 6"/>
    <w:basedOn w:val="687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Список-таблица 21"/>
    <w:basedOn w:val="68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04" w:customStyle="1">
    <w:name w:val="List Table 2 - Accent 1"/>
    <w:basedOn w:val="68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1005" w:customStyle="1">
    <w:name w:val="List Table 2 - Accent 2"/>
    <w:basedOn w:val="68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1006" w:customStyle="1">
    <w:name w:val="List Table 2 - Accent 3"/>
    <w:basedOn w:val="68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1007" w:customStyle="1">
    <w:name w:val="List Table 2 - Accent 4"/>
    <w:basedOn w:val="68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1008" w:customStyle="1">
    <w:name w:val="List Table 2 - Accent 5"/>
    <w:basedOn w:val="68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1009" w:customStyle="1">
    <w:name w:val="List Table 2 - Accent 6"/>
    <w:basedOn w:val="68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010" w:customStyle="1">
    <w:name w:val="Список-таблица 3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1" w:customStyle="1">
    <w:name w:val="List Table 3 - Accent 1"/>
    <w:basedOn w:val="68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2" w:customStyle="1">
    <w:name w:val="List Table 3 - Accent 2"/>
    <w:basedOn w:val="68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3" w:customStyle="1">
    <w:name w:val="List Table 3 - Accent 3"/>
    <w:basedOn w:val="68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4" w:customStyle="1">
    <w:name w:val="List Table 3 - Accent 4"/>
    <w:basedOn w:val="68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5" w:customStyle="1">
    <w:name w:val="List Table 3 - Accent 5"/>
    <w:basedOn w:val="68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6" w:customStyle="1">
    <w:name w:val="List Table 3 - Accent 6"/>
    <w:basedOn w:val="68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7" w:customStyle="1">
    <w:name w:val="Список-таблица 41"/>
    <w:basedOn w:val="68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8" w:customStyle="1">
    <w:name w:val="List Table 4 - Accent 1"/>
    <w:basedOn w:val="68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19" w:customStyle="1">
    <w:name w:val="List Table 4 - Accent 2"/>
    <w:basedOn w:val="68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0" w:customStyle="1">
    <w:name w:val="List Table 4 - Accent 3"/>
    <w:basedOn w:val="68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1" w:customStyle="1">
    <w:name w:val="List Table 4 - Accent 4"/>
    <w:basedOn w:val="68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2" w:customStyle="1">
    <w:name w:val="List Table 4 - Accent 5"/>
    <w:basedOn w:val="68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3" w:customStyle="1">
    <w:name w:val="List Table 4 - Accent 6"/>
    <w:basedOn w:val="68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4" w:customStyle="1">
    <w:name w:val="Список-таблица 5 темная1"/>
    <w:basedOn w:val="68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5" w:customStyle="1">
    <w:name w:val="List Table 5 Dark - Accent 1"/>
    <w:basedOn w:val="68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6" w:customStyle="1">
    <w:name w:val="List Table 5 Dark - Accent 2"/>
    <w:basedOn w:val="68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7" w:customStyle="1">
    <w:name w:val="List Table 5 Dark - Accent 3"/>
    <w:basedOn w:val="68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8" w:customStyle="1">
    <w:name w:val="List Table 5 Dark - Accent 4"/>
    <w:basedOn w:val="68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29" w:customStyle="1">
    <w:name w:val="List Table 5 Dark - Accent 5"/>
    <w:basedOn w:val="68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30" w:customStyle="1">
    <w:name w:val="List Table 5 Dark - Accent 6"/>
    <w:basedOn w:val="68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31" w:customStyle="1">
    <w:name w:val="Список-таблица 6 цветная1"/>
    <w:basedOn w:val="68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32" w:customStyle="1">
    <w:name w:val="List Table 6 Colorful - Accent 1"/>
    <w:basedOn w:val="68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33" w:customStyle="1">
    <w:name w:val="List Table 6 Colorful - Accent 2"/>
    <w:basedOn w:val="68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34" w:customStyle="1">
    <w:name w:val="List Table 6 Colorful - Accent 3"/>
    <w:basedOn w:val="68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35" w:customStyle="1">
    <w:name w:val="List Table 6 Colorful - Accent 4"/>
    <w:basedOn w:val="68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36" w:customStyle="1">
    <w:name w:val="List Table 6 Colorful - Accent 5"/>
    <w:basedOn w:val="68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37" w:customStyle="1">
    <w:name w:val="List Table 6 Colorful - Accent 6"/>
    <w:basedOn w:val="68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38" w:customStyle="1">
    <w:name w:val="Список-таблица 7 цветная1"/>
    <w:basedOn w:val="68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9" w:customStyle="1">
    <w:name w:val="List Table 7 Colorful - Accent 1"/>
    <w:basedOn w:val="68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0" w:customStyle="1">
    <w:name w:val="List Table 7 Colorful - Accent 2"/>
    <w:basedOn w:val="68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1" w:customStyle="1">
    <w:name w:val="List Table 7 Colorful - Accent 3"/>
    <w:basedOn w:val="68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2" w:customStyle="1">
    <w:name w:val="List Table 7 Colorful - Accent 4"/>
    <w:basedOn w:val="68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3" w:customStyle="1">
    <w:name w:val="List Table 7 Colorful - Accent 5"/>
    <w:basedOn w:val="68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4" w:customStyle="1">
    <w:name w:val="List Table 7 Colorful - Accent 6"/>
    <w:basedOn w:val="68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5" w:customStyle="1">
    <w:name w:val="Lined - Accent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46" w:customStyle="1">
    <w:name w:val="Lined - Accent 1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47" w:customStyle="1">
    <w:name w:val="Lined - Accent 2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48" w:customStyle="1">
    <w:name w:val="Lined - Accent 3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49" w:customStyle="1">
    <w:name w:val="Lined - Accent 4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50" w:customStyle="1">
    <w:name w:val="Lined - Accent 5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51" w:customStyle="1">
    <w:name w:val="Lined - Accent 6"/>
    <w:basedOn w:val="687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52" w:customStyle="1">
    <w:name w:val="Bordered &amp; Lined - Accent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53" w:customStyle="1">
    <w:name w:val="Bordered &amp; Lined - Accent 1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54" w:customStyle="1">
    <w:name w:val="Bordered &amp; Lined - Accent 2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55" w:customStyle="1">
    <w:name w:val="Bordered &amp; Lined - Accent 3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56" w:customStyle="1">
    <w:name w:val="Bordered &amp; Lined - Accent 4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57" w:customStyle="1">
    <w:name w:val="Bordered &amp; Lined - Accent 5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58" w:customStyle="1">
    <w:name w:val="Bordered &amp; Lined - Accent 6"/>
    <w:basedOn w:val="687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59" w:customStyle="1">
    <w:name w:val="Bordered"/>
    <w:basedOn w:val="68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60" w:customStyle="1">
    <w:name w:val="Bordered - Accent 1"/>
    <w:basedOn w:val="68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61" w:customStyle="1">
    <w:name w:val="Bordered - Accent 2"/>
    <w:basedOn w:val="68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62" w:customStyle="1">
    <w:name w:val="Bordered - Accent 3"/>
    <w:basedOn w:val="68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63" w:customStyle="1">
    <w:name w:val="Bordered - Accent 4"/>
    <w:basedOn w:val="68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64" w:customStyle="1">
    <w:name w:val="Bordered - Accent 5"/>
    <w:basedOn w:val="68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65" w:customStyle="1">
    <w:name w:val="Bordered - Accent 6"/>
    <w:basedOn w:val="68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75323-77B0-4787-88EF-85A6C2C0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373</cp:revision>
  <dcterms:created xsi:type="dcterms:W3CDTF">2022-09-15T06:40:00Z</dcterms:created>
  <dcterms:modified xsi:type="dcterms:W3CDTF">2026-09-11T06:08:32Z</dcterms:modified>
</cp:coreProperties>
</file>