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3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Об итогах работы ТФОМС Липецкой области за 9 месяцев 2025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5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За период январь-сентябрь 2025 года доходы бюджета территориального фонда ОМС сложились в размере 17 977,2 млн. рублей, что составляет 100% от утвержденных бюджетных назначений и 111,7% к доходам аналогичного периода 2024 года (16 096,5 млн. рублей).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5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В бюджет территориального фонда обязательного медицинского страхования Липецкой области за этот период поступило сре</w:t>
      </w:r>
      <w:r>
        <w:rPr>
          <w:sz w:val="28"/>
          <w:szCs w:val="28"/>
          <w:highlight w:val="none"/>
        </w:rPr>
        <w:t xml:space="preserve">дств в в</w:t>
      </w:r>
      <w:r>
        <w:rPr>
          <w:sz w:val="28"/>
          <w:szCs w:val="28"/>
          <w:highlight w:val="none"/>
        </w:rPr>
        <w:t xml:space="preserve">иде: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субвенции из Федерального фонда обязательного медицинского страхования на финансовое обеспечение организации обязательного медицинского страхования в сумме 17 483,1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- межбюджетных трансфертов, полученных из областного бюджета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 размере 136,4 млн. рублей.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85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Рост сопоставимых вышеуказанных доходов фонда для финансового обеспечения реализации территориальной программы ОМС за 9 месяцев 2025 года составил 1 849,0 млн. рублей или 11,7%.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За 9 месяцев текущего года медицинскими организациями предъявлено на оплату медицинской помощи в объеме 17 094,0 млн. рублей, что составляет 98,7% от утвержденной стоимости программы и 110,4% к аналогичному показателю прошлого года (15 484,2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млн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. р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ублей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), в том числе: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885"/>
        <w:ind w:firstLine="720"/>
        <w:jc w:val="both"/>
        <w:spacing w:after="0" w:afterAutospacing="0" w:line="283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амбулаторной медицинской помощи утверждена в сумме 6 702,2 млн. рублей, фактическое выполнение составило 6 223,5 млн. рублей или 92,9% от утвержденной стоимости и 102,1% к соответствующему показателю прошлого года (6 096,0 </w:t>
      </w:r>
      <w:r>
        <w:rPr>
          <w:sz w:val="28"/>
          <w:szCs w:val="28"/>
          <w:highlight w:val="none"/>
        </w:rPr>
        <w:t xml:space="preserve">млн</w:t>
      </w:r>
      <w:r>
        <w:rPr>
          <w:sz w:val="28"/>
          <w:szCs w:val="28"/>
          <w:highlight w:val="none"/>
        </w:rPr>
        <w:t xml:space="preserve">. р</w:t>
      </w:r>
      <w:r>
        <w:rPr>
          <w:sz w:val="28"/>
          <w:szCs w:val="28"/>
          <w:highlight w:val="none"/>
        </w:rPr>
        <w:t xml:space="preserve">ублей</w:t>
      </w:r>
      <w:r>
        <w:rPr>
          <w:sz w:val="28"/>
          <w:szCs w:val="28"/>
          <w:highlight w:val="none"/>
        </w:rPr>
        <w:t xml:space="preserve">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5"/>
        <w:ind w:firstLine="720"/>
        <w:jc w:val="both"/>
        <w:spacing w:after="0" w:afterAutospacing="0" w:line="283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стационарной медицинской помощи утверждена в сумме 7 787,1 млн. рублей, фактическое выполнение составило 8 166,7 млн. рублей или 104,9% от утвержденной стоимости и 122,7% к аналогичному показателю прошлого года (6 654,4 </w:t>
      </w:r>
      <w:r>
        <w:rPr>
          <w:sz w:val="28"/>
          <w:szCs w:val="28"/>
          <w:highlight w:val="none"/>
        </w:rPr>
        <w:t xml:space="preserve">млн</w:t>
      </w:r>
      <w:r>
        <w:rPr>
          <w:sz w:val="28"/>
          <w:szCs w:val="28"/>
          <w:highlight w:val="none"/>
        </w:rPr>
        <w:t xml:space="preserve">. р</w:t>
      </w:r>
      <w:r>
        <w:rPr>
          <w:sz w:val="28"/>
          <w:szCs w:val="28"/>
          <w:highlight w:val="none"/>
        </w:rPr>
        <w:t xml:space="preserve">ублей</w:t>
      </w:r>
      <w:r>
        <w:rPr>
          <w:sz w:val="28"/>
          <w:szCs w:val="28"/>
          <w:highlight w:val="none"/>
        </w:rPr>
        <w:t xml:space="preserve">);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5"/>
        <w:ind w:firstLine="720"/>
        <w:jc w:val="both"/>
        <w:spacing w:after="0" w:afterAutospacing="0" w:line="283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медицинской помощи в дневных стационарах утверждена в сумме 1 754,0 млн. рублей, фактически выполнено – 1 637,6 млн. рублей или 93,4% от утвержденной стоимости и 90,0% к соответствующему показателю 2024 года (1 819,4 млн. рублей);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5"/>
        <w:ind w:firstLine="720"/>
        <w:jc w:val="both"/>
        <w:spacing w:after="0" w:afterAutospacing="0" w:line="283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- стоимость скорой медицинской помощи утверждена в сумме 1 083,4 млн. рублей, фактически выполнено – 1 066,3 млн. рублей или 98,4% от утвержденной стоимости и 116,6% к соответствующему показателю прошлого года (914,2 </w:t>
      </w:r>
      <w:r>
        <w:rPr>
          <w:sz w:val="28"/>
          <w:szCs w:val="28"/>
          <w:highlight w:val="none"/>
        </w:rPr>
        <w:t xml:space="preserve">млн</w:t>
      </w:r>
      <w:r>
        <w:rPr>
          <w:sz w:val="28"/>
          <w:szCs w:val="28"/>
          <w:highlight w:val="none"/>
        </w:rPr>
        <w:t xml:space="preserve">. р</w:t>
      </w:r>
      <w:r>
        <w:rPr>
          <w:sz w:val="28"/>
          <w:szCs w:val="28"/>
          <w:highlight w:val="none"/>
        </w:rPr>
        <w:t xml:space="preserve">ублей</w:t>
      </w:r>
      <w:r>
        <w:rPr>
          <w:sz w:val="28"/>
          <w:szCs w:val="28"/>
          <w:highlight w:val="none"/>
        </w:rPr>
        <w:t xml:space="preserve">).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Объемы медицинской помощи, установленные Комиссией по разработке территориальной программы ОМС, выполнены медицинскими организациями за 9 месяцев текущего года: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стационарной медицинской помощи в целом – на 104,0% (157 171 случай против 151 081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запланированных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случаев и 158 299 случаев в 2024 году);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амбулаторной медицинской помощи в неотложной форме – на 99,3% (444 851 посещений против 447 854 запланированных посещений), и на 113,0% к уровню прошлого года (393 724 посещений)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по обращениям в связи с заболеваниями – на 115,3% (1 253 958 обращений против 1 087 673 обращений по плану) и 90,8% к уровню прошлого года (1 381 129 обращений);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по медицинской помощи, оказанной в дневных стационарах - на 99,0% (57 529 случаев против 58 098 запланированных случаев и 57 358 случаев в прошлом году);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по скорой медицинской помощи – на 85,7% (216 232 вызовов против 252 379 вызовов по плану), или на 105,2% к уровню 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аналогичного показателя прошлого года (205 588 вызовов).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885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ru-RU"/>
        </w:rPr>
        <w:t xml:space="preserve">Стоимость специализированной медицинской помощи пациентам со злокачественными новообра</w:t>
      </w:r>
      <w:r>
        <w:rPr>
          <w:sz w:val="28"/>
          <w:szCs w:val="28"/>
          <w:highlight w:val="none"/>
          <w:lang w:eastAsia="ru-RU"/>
        </w:rPr>
        <w:t xml:space="preserve">з</w:t>
      </w:r>
      <w:r>
        <w:rPr>
          <w:sz w:val="28"/>
          <w:szCs w:val="28"/>
          <w:highlight w:val="none"/>
          <w:lang w:eastAsia="ru-RU"/>
        </w:rPr>
        <w:t xml:space="preserve">ованиями (ЗНО), принятой к оплате, за 9 месяцев 2025 года составила 1 887,6 млн. рублей (114,2% от запланированной суммы – 1 652,4 млн. рублей), в том числе в стационарных условиях – 1 116,7 млн. рублей, в условиях дневного стационара – 770,9 млн. рублей.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85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  <w:lang w:eastAsia="ru-RU"/>
        </w:rPr>
        <w:t xml:space="preserve">Средняя стоимость 1 случая специализированного лечения пациентов с ЗНО за отчетный период составила в целом 67,2 тыс. рублей, в стационарных условиях – 72,3 тыс. рублей (при плановой средней стоимости 96,9 тыс. </w:t>
      </w:r>
      <w:r>
        <w:rPr>
          <w:sz w:val="28"/>
          <w:szCs w:val="28"/>
          <w:highlight w:val="none"/>
          <w:lang w:eastAsia="ru-RU"/>
        </w:rPr>
        <w:t xml:space="preserve">рублей</w:t>
      </w:r>
      <w:r>
        <w:rPr>
          <w:sz w:val="28"/>
          <w:szCs w:val="28"/>
          <w:highlight w:val="none"/>
          <w:lang w:eastAsia="ru-RU"/>
        </w:rPr>
        <w:t xml:space="preserve">), в условиях дневного стационара – 60,9 тыс. рублей (при плановой средней стоимости 76,2 </w:t>
      </w:r>
      <w:r>
        <w:rPr>
          <w:sz w:val="28"/>
          <w:szCs w:val="28"/>
          <w:highlight w:val="none"/>
          <w:lang w:eastAsia="ru-RU"/>
        </w:rPr>
        <w:t xml:space="preserve">тыс</w:t>
      </w:r>
      <w:r>
        <w:rPr>
          <w:sz w:val="28"/>
          <w:szCs w:val="28"/>
          <w:highlight w:val="none"/>
          <w:lang w:eastAsia="ru-RU"/>
        </w:rPr>
        <w:t xml:space="preserve">. р</w:t>
      </w:r>
      <w:r>
        <w:rPr>
          <w:sz w:val="28"/>
          <w:szCs w:val="28"/>
          <w:highlight w:val="none"/>
          <w:lang w:eastAsia="ru-RU"/>
        </w:rPr>
        <w:t xml:space="preserve">ублей</w:t>
      </w:r>
      <w:r>
        <w:rPr>
          <w:sz w:val="28"/>
          <w:szCs w:val="28"/>
          <w:highlight w:val="none"/>
          <w:lang w:eastAsia="ru-RU"/>
        </w:rPr>
        <w:t xml:space="preserve">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Объем специализированной медицинской помощи пациентам с ЗНО з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 9 месяцев 2025 года составил 28 082 случая, в том числе в круглосуточном стационаре – 15 432 случая (181% от запланированного объема – 8 524 госпитализаций), в дневном стационаре – 12 650 случаев (117% от запланированного объема – 10 848 госпитализаций).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План диспансеризации взрослого населения на 9 месяцев 2025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года установлен в количестве 375 187 человек. Фактически осмотрено в рамках диспансеризации – 424 946 человек или 113,3% от утвержденного плана. Предъявлено счетов к оплате за проведенную диспансеризацию в рамках 1 и 2 этапов на сумму 1 247,3 млн. рублей.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План по реализации профилактических медицинских осмотров взрослого населения на январь-сентябрь 2025 года установлен в размере 82 719 человек.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Фактически осмотрено 102 % от утвержденного плана или 84 668 человек. Общая сумма за проведение профилактических медицинских осмотров,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предъявленная медицинскими организациями к оплате за отчетный период 2025 года, составила 147,4 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План по проведению профилактических медицинских осмотров несовершеннолетних на январь-сентябрь 2025 года установлен в количестве 153 509 человек. Фактически осмотрено 154 270 человек или 100% от утвержденного план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 на 9 месяцев 2025 года, сумма выставленных на оплату счетов по реестрам составила 543,4 млн. рублей. Из 19 медицинских организаций, проводивших профилактические медицинские осмотры несовершеннолетних, не выполнили установленный план - 14 МО, в том числе: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Липецкая городская больница № 4 «Липецк-Мед» - 90,1%;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«Липецкая городская поликлиника № 4» (филиал ЛГП №7) - 30,2%;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«Елецкая городская детская больница» - 96%;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«Тербунская ЦРБ» (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Воловский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район) - 43%;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Грязинская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ЦРБ» - 88,9%;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«Добринская ЦРБ» - 97,2%;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Добровская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РБ» - 92,4%;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Долгоруковская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РБ» - 92,8%;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«Елецкая РБ» - 94,7%;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«Задонская ЦРБ» - 80,1%;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«Лебедянская ЦРБ» (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Краснинский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район) - 22,7%;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Данковская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ЦРБ» (Лев-Толстовский район) - 38%;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Становлянская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РБ» - 82,1%;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7"/>
        </w:numPr>
        <w:ind w:hanging="437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Данковская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ЦРБ» (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Чаплыгинский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район) - 46,9%.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План по диспансеризации детей-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сирот, усыновленных и принятых под опеку на январь-сентябрь 2025 года составил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1 277 человек.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Фактически осмотрено 88,6% от утвержденного плана или 1 132 человека на сумму 5,8 млн. рублей. Из 19 медицинских организаций, проводивших диспансеризацию детей-сирот, усыновленных и принятых под опеку, не выполнили установленный план - 11 МО, в том числе: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8"/>
        </w:numPr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«Липецкая городская поликлиника №4» (филиал ЛГП №7) - 94,1%;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8"/>
        </w:numPr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«Елецкая городская детская больница» - 90%;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8"/>
        </w:numPr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Грязинская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ЦРБ» - 97,8%;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8"/>
        </w:numPr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Данковская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ЦРБ» - 96,8%;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8"/>
        </w:numPr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«Добринская ЦРБ» - 5,6%;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8"/>
        </w:numPr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Добровская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 РБ» - 88,9%;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8"/>
        </w:numPr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Долгоруковская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РБ» - 17,1%;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8"/>
        </w:numPr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«Задонская ЦРБ» - 94,2%;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8"/>
        </w:numPr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«Лебедянская ЦРБ» (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Краснинский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район) - 2,9%;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8"/>
        </w:numPr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ГУЗ «Липецкая РБ» - 94,4%;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numPr>
          <w:ilvl w:val="0"/>
          <w:numId w:val="28"/>
        </w:numPr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ГУЗ «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Данковская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ЦРБ» (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Чаплыгинский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район) - 3,1%.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План по диспансеризации детей-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сирот, пребывающих в стационарных учреждениях на январь-сентябрь 2025 года составил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712 человек. Фактически обследовано 689 детей, что составило 97% от утвержденного плана, на сумму 3,3 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auto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Число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пациентов, подлежащих диспансерному наблюдению в отчетном периоде составило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197 102 человека. Получили услуги по диспансерному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наблюдению 181 588 человек или 92% от планового показателя. За 9 месяцев 2025 года проведено 232 377 комплексных посещений по диспансерному наблюдению, что составляет 107% от планового объема (216 596 посещений).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 9 месяцев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2025 года медицинскими организациями Липецкой области 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казана медицинская помощь 24 248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иногородни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 пациентам на общую сумму 359,0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рублей, которая оплачена по предъявленным счетам и реестрам в полном объеме.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Медицинскими организациями Липецкой области лицам, застрахованным на других территориях РФ, оказана медицинская помощь по следующим основным профилям: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акушерство и гинекология – 3 397 случаев на сумму 23,7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кардиология – 933 случая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на сумму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24,1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нефрология – 1 339 случаев на сумму 11,2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нейрохирургия – 274 случая на сумму 6,0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неврология – 2 163 случая на сумму 23,9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онкология - 707 случаев на сумму 18,5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 (в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. химиотерапия – 161 случаев на сумму 10,7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офтальмология – 6 433 случая на сумму 87,8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т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равматология и ортопедия – 2 981 случай на сумму 17,8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 9 месяцев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2025 года территориальными фондами ОМС других субъектов РФ предъявлено счетов и реестров за ока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занную медицинскую помощь 21 755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пациентам, застрахованным на территории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Липецкой области, на сумму 737,3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рублей, в том числе по высокотехноло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гичной медицинской помощи – 123,7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млн. рублей. Оплачено за 9 месяцев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2025 года с учетом сложившегося остатка на 01.01.202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5 года (6,9 млн. рублей) – 744,2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млн. рублей. Задолжен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ность по оплате счетов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на 01.10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.2025 года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–о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тсутствует.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Медицинскими организациями других субъектов Российской Федерации, пациентам, застрахованным на территории Липецкой области, медицинская помощь оказана по следующим основным профилям: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акушерство и гинекология – 2 569 случаев на сумму 23,7 млн. рублей (в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. ЭКО - 52 случая на сумму 5,9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инфекционные болезни – 662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случая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на сумму 12,3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кардиология – 1 007 случаев на сумму 24,4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 медицинская реабилитация – 219 случаев на сумму 14,4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неврология – 1 094 случая на сумму 25,2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 нейрохирургия – 396 случаев на сумму 16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,6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онкология – 9 436 случаев на сумму 269,8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 (в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т.ч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. -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химиотерапия – 532 случая на сумму 15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4,0 млн.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офтальмология – 1 908 случаев на сумму 10,9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се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рдечно-сосудистая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хирургия - 345 случаев на сумму 35,2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т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равматология и ортопедия – 2 690 случаев на сумму 97,2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урология – 556 случаев на сумму 9,7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млн.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Расходы медицинских организаций за 9 месяцев 2025 года составили 15 979,4 млн. рублей, что выше показателя прошлого года на 15,1% или на 2 097,0 млн. рублей (13 882,4 млн. рублей), в том числе: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- на оплату труда с начислениями – 11 361,1 млн. рублей, что составляет 118,6% от уровня прошлого года (9 578,3млн.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- оплата за медикаменты – 2 538,6 млн. рублей, что выше уровня прошлого года на 5,0%  (2 416,9 млн. рублей);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 - оплата за продукты питания – 207,7 млн. рублей, что выше показателя прошлого года на 34,3% (154,7 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- оплата коммунальных услуг – 449,5 млн. рублей, что выше уровня прошлого года на 4,3% (430,9 млн. рублей);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Таким образом, наибольшую долю в структуре расходов занимают расходы на заработную плату с начислениями – 71,1%, при этом темпы роста данных расходов в сравнении с предыдущим периодом не превышают темпы роста по другим видам расходов. 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83" w:lineRule="atLeast"/>
        <w:rPr>
          <w:rFonts w:ascii="Times New Roman" w:hAnsi="Times New Roman" w:eastAsia="Times New Roman"/>
          <w:sz w:val="28"/>
          <w:szCs w:val="28"/>
          <w:highlight w:val="none"/>
        </w:rPr>
      </w:pP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Наиболее высокий темп роста расходов медиц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  <w:t xml:space="preserve">инских организаций за период 9 месяцев текущего года наблюдается по расходам на продукты питания – 34,3% и мягкий инвентарь – в 2,2 раза, при этом доля этих расходов в общем объеме расходов медицинских организаций минимальна – 13,4% и 0,2% соответственно.</w:t>
      </w:r>
      <w:bookmarkStart w:id="0" w:name="_GoBack"/>
      <w:r>
        <w:rPr>
          <w:highlight w:val="none"/>
        </w:rPr>
      </w:r>
      <w:bookmarkEnd w:id="0"/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pStyle w:val="885"/>
        <w:ind w:firstLine="720"/>
        <w:jc w:val="both"/>
        <w:spacing w:after="0" w:afterAutospacing="0" w:line="283" w:lineRule="atLeast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Средняя заработная плата работников государственных медицинских организаций Липецкой области в системе ОМС за 9 месяцев 2025 года составила 55,54 тыс. рублей, что на 19,1% выше аналогичного показателя прошлого года (46,64 тыс. рублей) в том числе: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амбулаторно-поликлиническому звену средняя зарплата медицинских работников по сравнению с аналогичным периодом прошлого года возросла на 18,8% и составила 58,02 тыс. рублей (9 месяцев 2024 года – 48,82 тыс.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в стационарном звене рост средней зарплаты медицинских работников составил 20,8 % - 72,40 тыс. рублей (январь-сентябрь 2024 года – 59,93 тыс. рублей);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в подразделениях скорой медицинской помощи средняя зарплата медицинских работников из средств ОМС составила 61,75 тыс. рублей, рост – 6,6 % (январь-сентябрь 2024 года – 57,92 тыс. рублей).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Средняя заработная плата по категориям персонала в отчетном периоде по сравнению с аналогичным периодом прошлого года сложилась следующим образом: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врачебным кадрам средняя зарплата увеличилась на 18,8% и составила 99,65 тыс. рублей (83,86 тыс. рублей за 9 месяцев 2024 года);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среднему медицинскому персоналу средняя заработная плата  составила 54,49 тыс. рублей, в сравнении с аналогичным периодом за 2024 год, уровень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которой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был равен - 45,99 тыс. рублей, увеличение произошло на 18,5%;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младшему медицинскому персоналу средняя зарплата увеличилась на 18,4% и составила 51,44 тыс. рублей (показатель за 9 месяцев 2024 года был равен 43,43 тыс. рублей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)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прочему персоналу средняя заработная плата достигла уровня 34,40 тыс. рублей, за 9 месяцев 2024 года данный показатель составлял 29,48 тыс. рублей, т.е. динамика роста составила + 16,7%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- по АУП средняя зарплата увеличилась на 18,8% и составила 85,93 тыс. рублей (уровень за январь-сентябрь 2024 года составлял - 72,30 тыс. рублей).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Во исполнение пункта 7.1 части 2 статьи 20 Федерального закона № 326-Ф3 «Об обязательном медицинском страховании», Правил использования средств нормированного страхового запаса, за январь-сентябрь 2025 года утвержден План мероприятий по организации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на сумму 39 829,9 тыс. рублей, в том числе на дополнительное профессиональное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образование медицинских работников – 1 204,6 тыс. рублей, на проведение ремонта медицинского оборудования – 9 006,8 тыс. рублей, на приобретение медицинского оборудования – 29 618,5 тыс. рублей. Подписаны соглашения с 14 медицинскими органи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зациями Липецкой области о финансовом обеспечении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 целью реализации Федерального закона № 326-ФЗ «Об обязательном медицинском страховании в Российской Федерации» (пункта 4 части 6 статьи 26) для 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софинансирования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 расходов медицинских организаций на оплату труда вр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ачей и среднего медицинского персонала, распоряжением Правительства Российской Федерации для Липецкой области в 2025 году предусмотрено 25 414,1 тыс. рублей. За отчетный период с января по сентябрь 2025 года в медицинские организации в соответствии с их за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явками было направлено 20 235,4 тыс. рублей. Из средств нормированного страхового запаса за 9 месяцев 2025 года осуществлено финансирование заработной платы 300 медицинских работников, (в том числе 156 врачей и 144 человек среднего медицинского персонала).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3"/>
        <w:ind w:firstLine="708"/>
        <w:jc w:val="both"/>
        <w:spacing w:beforeAutospacing="0" w:after="0" w:afterAutospacing="0" w:line="283" w:lineRule="atLeas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На 2025 год, распоряжением правительства РФ от 07.12.2024 № 3609-р на реализацию мероприятий по осуществлению денежных выплат стимулирующего характера медицинским работн</w:t>
      </w:r>
      <w:r>
        <w:rPr>
          <w:sz w:val="28"/>
          <w:szCs w:val="28"/>
          <w:highlight w:val="none"/>
        </w:rPr>
        <w:t xml:space="preserve">икам за в</w:t>
      </w:r>
      <w:r>
        <w:rPr>
          <w:sz w:val="28"/>
          <w:szCs w:val="28"/>
          <w:highlight w:val="none"/>
        </w:rPr>
        <w:t xml:space="preserve">ыявление онкологических заболеваний в ходе проведения диспансеризации и профилактических медицинских осмотров населения выделено 270,7 тыс. рублей. За 9 месяцев 2025 года в медицинские организации области перечислено 433,6 тыс. рублей (160%) - 260 случаев.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соответствии с Федеральным законом от 29.11.2010 № 326-ФЗ «Об обязательном медицинском страховании в Российской Федерации» и действующими нормативными документами в обл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асти обязательного медицинского страхования, ТФОМС Липецкой области осуществляет контроль использования финансовых средств обязательного медицинского страхования медицинскими организациями и страховыми медицинскими организациями путем проведения проверок.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Основанием для проведения проверки являлся приказ директора ТФОМС Липецкой области, который определял тему проверки, проверяемый период, руководителя комиссии, состав комиссии, сроки проведения проверки, форму проверки.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В план проверок на 2025 год включены 46 медицинских организаций и 2 страховые медицинские организации.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За период январь-сентябрь 2025 года проведено 45 проверок, в том числе: в медицинских организациях — 39 проверок, из них: 33 плановых проверок, 6 — внеплановых тематических проверок в связи с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реорганизацией медицинских организаций и прекращением действия договора на оказание и оплату медицинской помощи по обязательному медицинскому страхованию; в страховых медицинских организациях - 2 плановые комплексные проверки, и 5 внеплановых проверок.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В страховых медицинских организациях 3 проверки  осуществлялись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в связи с обращением страховой медицинской организации в территориальный фонд с заявкой на предоставление недостающих средств для оплаты медицинской помощи в рамках территориальной программы обязательного медицинского страхования, 2 проверки по вопросам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bidi="en-US"/>
        </w:rPr>
        <w:t xml:space="preserve">порядка выдачи полисов ОМС и внесения в региональный сегмент единого регистра застрахованных записей, содержащих недостоверные сведения.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Остаток невосстановленных средств ОМС по состоянию на 01.01.2025 года составил 4 376,7 тыс. рублей.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По итогам проверок за 9 месяцев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2025 года,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в медицинских организациях выявлено нецелевое использование средств обязательного медицинского страхования на сумму 6 489,6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тыс. рублей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b w:val="0"/>
          <w:bCs w:val="0"/>
          <w:i/>
          <w:iCs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«Оплата расходов, не включенных в структуру тарифа на оплату медицинской помощи в рамках территориальной программы ОМС» - 4 141,8 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 или 63,8% от выявленной суммы нецелевого использования средств ОМС:</w:t>
      </w:r>
      <w:r>
        <w:rPr>
          <w:b w:val="0"/>
          <w:bCs w:val="0"/>
          <w:i/>
          <w:iCs/>
          <w:highlight w:val="none"/>
        </w:rPr>
      </w:r>
      <w:r>
        <w:rPr>
          <w:b w:val="0"/>
          <w:bCs w:val="0"/>
          <w:i/>
          <w:iCs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156,4 тыс. рублей -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обучение по темам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, не связанным с оказанием медицинской помощи в рамках территориальной программы ОМС: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«Задонская ЦРБ» - 20,7 тыс. 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ООО «ДЦ НЕФРОС ЛИПЕЦК» -73,6 тыс. рублей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ГУЗ «Елецкая РБ» - 59,1 тыс. рублей,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ГУЗ «Тербунская ЦРБ — 3,0 тыс. руб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л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 xml:space="preserve">1 302,6 тыс. рублей - приобретение оборудования стоимостью свыше 100,0 тыс. рублей за единицу: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0"/>
          <w:highlight w:val="none"/>
          <w:lang w:eastAsia="zh-CN"/>
        </w:rPr>
        <w:t xml:space="preserve">ГУЗ «</w:t>
      </w:r>
      <w:r>
        <w:rPr>
          <w:rFonts w:ascii="Times New Roman" w:hAnsi="Times New Roman" w:eastAsia="Times New Roman" w:cs="Times New Roman"/>
          <w:color w:val="000000"/>
          <w:sz w:val="28"/>
          <w:szCs w:val="20"/>
          <w:highlight w:val="none"/>
          <w:lang w:eastAsia="zh-CN"/>
        </w:rPr>
        <w:t xml:space="preserve">ЦСМПиМК</w:t>
      </w:r>
      <w:r>
        <w:rPr>
          <w:rFonts w:ascii="Times New Roman" w:hAnsi="Times New Roman" w:eastAsia="Times New Roman" w:cs="Times New Roman"/>
          <w:color w:val="000000"/>
          <w:sz w:val="28"/>
          <w:szCs w:val="20"/>
          <w:highlight w:val="none"/>
          <w:lang w:eastAsia="zh-CN"/>
        </w:rPr>
        <w:t xml:space="preserve"> Липецкой области» -1302,6 тыс. рублей,</w:t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26,6 тыс. рублей - оплата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медицинских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 осмотра при приеме на работу: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«ЛОКИБ» — 26,6 тыс. рублей;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115,9 тыс. рублей - страхование гражданской ответственности опасных объектов: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2126" w:hanging="1417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«Липецкая гор. больница № 4 «Липецк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ед» - 21,4 тыс. 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«Задонская ЦРБ» -  12,0 тыс. 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shd w:val="clear" w:color="ffffff" w:themeColor="background1" w:fill="ffffff" w:themeFill="background1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«Областная детская больница» - 74,0 тыс. 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shd w:val="clear" w:color="ffffff" w:themeColor="background1" w:fill="ffffff" w:themeFill="background1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УЗ «Добринская ЦРБ» - 8,5 тыс. 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ind w:left="-284" w:firstLine="993"/>
        <w:jc w:val="both"/>
        <w:spacing w:after="0" w:afterAutospacing="0" w:line="283" w:lineRule="atLeast"/>
        <w:shd w:val="clear" w:color="ffffff" w:themeColor="background1" w:fill="ffffff" w:themeFill="background1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2038,3 тыс. рублей - оплата труда специалиста по социальной работе: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ГУЗ «Елецкая гор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б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ольница №2 — 76,6 тыс. 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ind w:left="-284" w:firstLine="993"/>
        <w:jc w:val="both"/>
        <w:spacing w:after="0" w:afterAutospacing="0" w:line="283" w:lineRule="atLeast"/>
        <w:shd w:val="clear" w:color="ffffff" w:themeColor="background1" w:fill="ffffff" w:themeFill="background1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ГУЗ «Липецкая гор. больница №4 «Липецк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-М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ед» - 233,5 тыс. 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ind w:left="-284" w:firstLine="993"/>
        <w:jc w:val="both"/>
        <w:spacing w:after="0" w:afterAutospacing="0" w:line="283" w:lineRule="atLeast"/>
        <w:shd w:val="clear" w:color="ffffff" w:themeColor="background1" w:fill="ffffff" w:themeFill="background1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ГУЗ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Залонская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 ЦРБ» - 190,1 тыс. 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ind w:left="-284" w:firstLine="993"/>
        <w:jc w:val="both"/>
        <w:spacing w:after="0" w:afterAutospacing="0" w:line="283" w:lineRule="atLeast"/>
        <w:shd w:val="clear" w:color="ffffff" w:themeColor="background1" w:fill="ffffff" w:themeFill="background1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ГУЗ «Добринская ЦРБ» - 101,9 тыс. 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  <w:t xml:space="preserve">ГУЗ «Липецкая городская поликлиника № 4» - 144,5 тыс. 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  <w:t xml:space="preserve">ГУЗ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  <w:t xml:space="preserve">Добровская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  <w:t xml:space="preserve"> РБ» - 145,3 тыс. 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  <w:t xml:space="preserve">ГУЗ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  <w:t xml:space="preserve">Долгоруковская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  <w:t xml:space="preserve"> РБ» - 1 146,4 тыс. рублей;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50,8 тыс. рублей - доплаты за лечение ВИЧ инфицированных граждан: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«ЛОКИБ» - 50,8 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78,4 тыс. рублей - оплата пени за несвоевременную  перечисление страховых взносов  и  налогов, исполнение гражданск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о-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 правовых обязательств: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ООО «ДЦ НЕФРОС ЛИПЕЦК» - 19,2 тыс. 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«Тербунская ЦРБ» - 45,0 тыс. 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Становлянская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РБ» - 14,2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62,8 тыс. рублей - оплата услуг, не связанных с оказанием медицинской помощи: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ООО «МЦ ЖИЗНЬ» - 16,2 тыс. 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«Липецкая гор. больница №4 «Липецк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ед» - 4,9 тыс. 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«Елецкая РБ» - 34,6 тыс. 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Данковская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ЦРБ» - 7,1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yellow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120,2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. рублей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 – проведение исследований в медицинской организации другого региона, не включенной в перечень медицинских организаций, участвующих в реализации Программы:</w:t>
      </w:r>
      <w:r>
        <w:rPr>
          <w:rFonts w:ascii="Times New Roman" w:hAnsi="Times New Roman" w:eastAsia="Times New Roman" w:cs="Times New Roman"/>
          <w:b w:val="0"/>
          <w:bCs w:val="0"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/>
          <w:sz w:val="28"/>
          <w:szCs w:val="28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ООО «ИНВИТРО» - 120,2 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 xml:space="preserve">50,0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 xml:space="preserve">. р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 xml:space="preserve">ублей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 xml:space="preserve"> - спил деревьев: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ГУЗ «Елецкая РБ» -50,0 тыс. рублей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 xml:space="preserve">13,0 тыс. рублей - расходы на погребение: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i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ГУЗ «Елецкая РБ» - 13,0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. р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ублей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/>
          <w:color w:val="000000"/>
          <w:sz w:val="28"/>
          <w:szCs w:val="28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 xml:space="preserve">126,8 тыс. рублей - работы капитального характера: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</w:rPr>
      </w:r>
    </w:p>
    <w:p>
      <w:pPr>
        <w:ind w:left="-284"/>
        <w:jc w:val="both"/>
        <w:spacing w:after="0" w:afterAutospacing="0" w:line="283" w:lineRule="atLeast"/>
        <w:tabs>
          <w:tab w:val="left" w:pos="426" w:leader="none"/>
        </w:tabs>
        <w:rPr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8"/>
          <w:szCs w:val="20"/>
          <w:highlight w:val="none"/>
          <w:lang w:eastAsia="zh-CN"/>
        </w:rPr>
        <w:tab/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ГУЗ «Тербунская ЦРБ» - 126,8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. рублей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b w:val="0"/>
          <w:bCs w:val="0"/>
          <w:highlight w:val="yellow"/>
        </w:rPr>
      </w:pPr>
      <w:r>
        <w:rPr>
          <w:b w:val="0"/>
          <w:bCs w:val="0"/>
          <w:highlight w:val="yellow"/>
        </w:rPr>
      </w:r>
      <w:r>
        <w:rPr>
          <w:b w:val="0"/>
          <w:bCs w:val="0"/>
          <w:highlight w:val="yellow"/>
        </w:rPr>
      </w:r>
      <w:r>
        <w:rPr>
          <w:b w:val="0"/>
          <w:bCs w:val="0"/>
          <w:highlight w:val="yellow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«Финансирование структурных подразделений медицинских организаций, финансируемых из иных источников» - 214,2 тыс. рублей и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 xml:space="preserve">ли 3,3% от выявленной суммы нецелевого использования средств ОМС: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214,2 тыс. рублей - оплата труда специалиста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режимно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 — секретного кабинета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«Липецкая гор. больни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ца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№ 4 «Липецк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ед» - 214,2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тыс. рублей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«Расходование средств обязательного медицинского страхования сверх норм, установленных соответствующими нормативными правовыми и правовыми актами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» - 26,4 тыс. рублей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ли 0,4 % от выявленной суммы нецелевого использования средств ОМС: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8"/>
          <w:highlight w:val="none"/>
          <w:lang w:eastAsia="zh-CN"/>
        </w:rPr>
        <w:t xml:space="preserve">26,4 тыс. рублей - выплаты заработной платы с учетом начислений, произведенные с превышением установленных норм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«Липецкая гор. больни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ца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№4 «Липецк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-М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ед»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 - 21,6 тыс. 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ГУЗ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Становлянская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 РБ» -4,8 тыс. рублей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i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«Рас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ходование средств обязательного медицинского страхования при отсутствии подтверждающих документов» - 2 049,5 тыс. рублей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или 31,6% от выявленной суммы нецелевого использования средств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ОМС:</w:t>
      </w:r>
      <w:r>
        <w:rPr>
          <w:rFonts w:ascii="Times New Roman" w:hAnsi="Times New Roman" w:eastAsia="Times New Roman" w:cs="Times New Roman"/>
          <w:b w:val="0"/>
          <w:bCs w:val="0"/>
          <w:i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/>
          <w:sz w:val="28"/>
          <w:szCs w:val="28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1 882,3 тыс. рублей - выплата заработной платы с учетом начислений, при отсутствии  сертификата (аккредитации) специалиста: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</w:p>
    <w:p>
      <w:pPr>
        <w:ind w:firstLine="709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ГУЗ «Липецкая городская поликлиника № 2 - 424,3 тыс. рублей,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ГУЗ «Областная детская больница» - 1 458,0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, рублей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167,2 тыс. рублей - компенсация за молоко не подтвержденная результатами специальной оценки: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b w:val="0"/>
          <w:bCs w:val="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ЦСМПиМК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0"/>
          <w:highlight w:val="none"/>
          <w:lang w:eastAsia="zh-CN"/>
        </w:rPr>
        <w:t xml:space="preserve"> Липецкой области  - 167,2 тыс. рублей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«Использование средств нормированного страхового запаса территориального фонда в нарушение условий их получения» - 57,7 тыс. рублей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или 0,9% от выявленной суммы нецелевого использования средств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ОМС: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57,7 тыс. рублей -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софинансирование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8"/>
          <w:szCs w:val="20"/>
          <w:highlight w:val="none"/>
          <w:lang w:eastAsia="zh-CN"/>
        </w:rPr>
        <w:t xml:space="preserve"> расходов на оплату труда врачей и среднего медицинского персонала (излишне начислена заработная плата):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«ЛОКИБ» - 18,1 тыс. 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«Липецкая городская поликлиника № 2» — 1,1 тыс. 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ГУЗ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Краснинская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0"/>
          <w:highlight w:val="none"/>
          <w:lang w:eastAsia="zh-CN"/>
        </w:rPr>
        <w:t xml:space="preserve"> РБ» - 18,0 тыс. рублей,</w:t>
      </w:r>
      <w:r>
        <w:rPr>
          <w:b w:val="0"/>
          <w:bCs w:val="0"/>
          <w:sz w:val="32"/>
          <w:szCs w:val="32"/>
          <w:highlight w:val="none"/>
        </w:rPr>
      </w:r>
      <w:r>
        <w:rPr>
          <w:b w:val="0"/>
          <w:bCs w:val="0"/>
          <w:sz w:val="32"/>
          <w:szCs w:val="32"/>
          <w:highlight w:val="none"/>
        </w:rPr>
      </w:r>
    </w:p>
    <w:p>
      <w:pPr>
        <w:ind w:left="-284" w:firstLine="993"/>
        <w:jc w:val="both"/>
        <w:spacing w:after="0" w:afterAutospacing="0" w:line="283" w:lineRule="atLeast"/>
        <w:tabs>
          <w:tab w:val="left" w:pos="426" w:leader="none"/>
        </w:tabs>
        <w:rPr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ГУЗ «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Становлянская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РБ» - 20,5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. 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ублей</w:t>
      </w:r>
      <w:r>
        <w:rPr>
          <w:b w:val="0"/>
          <w:bCs w:val="0"/>
          <w:sz w:val="32"/>
          <w:szCs w:val="32"/>
          <w:highlight w:val="none"/>
        </w:rPr>
      </w:r>
      <w:r>
        <w:rPr>
          <w:b w:val="0"/>
          <w:bCs w:val="0"/>
          <w:sz w:val="32"/>
          <w:szCs w:val="32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Возвращено в бюджет ТФОМС Липецкой области в соответствии с требованиями Федерального закона от 29.11.2010 № 326-ФЗ «Об обязательном медицинском страховании в Российской Федерации»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за 9 месяцев 2025 года 5 435,1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Остаток не восстановленных средств по состоянию на 01.10.2025 года составил 5 431,2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тыс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.рублей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Остаток задолженности по штрафам по результатам проверок по состоянию на 01.01.2025 года составлял 691,7 тыс. рублей (медицинские организации).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Сумма предъявленных штрафов, пеней за нецелевое использование средств ОМС по результатам проверок деятельности медицинских организаций в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сфере обязательного медицинского страхования за 9 месяцев 2025 года составила 1 588,5 тыс. рублей - в том числе: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штрафы за нецелевое использование средств ОМС - 904,0 тыс. рублей,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- 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пени от суммы нецелевого использования средств ОМС за каждый день просрочки - 684,5 тыс. рублей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Сумма средств от применения штрафов, пеней по результатам проверок  медицинских организаций в отчетном периоде перечислена на счет ТФОМС Липецкой области  в размере - 502,0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Остаток задолженности по штрафам, пеням за нецелевое использование средств ОМС по результатам проверок отчетного периода по состоянию на 30.09.2025 составляет 1 778,2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Остаток задолженности по штрафам, пеням за нарушение договорных обязательств по состоянию на 01.01.2025года отсутствует.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Предъявлено штрафов за нарушение договорных обязательств за 9 месяцев 2025 года на сумму - 678,5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Получено за 9 месяцев 2025 года штрафов за нарушение договорных обязательств в размере 18,0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По состоянию на 30.09.2025 года  остаток не оплаченных штрафов составил 660,5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  <w14:ligatures w14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Отсутствие должного внутреннего контроля объемов, сроков, качества и условий предоставления медицинской помощи способствует образованию финансовых потерь в медицинских организациях.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По результатам проведенных за 9 месяцев 2025 года проверок медицинских организаций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финансовые потери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в результате частичной или полной неоплаты медицинской помощи составили 93 899,1 тыс.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В ходе контрольных мероприятий за первое полугодие 2025 года были установлены нарушения, приведшие к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неэффективному использованию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средств ОМС на сумму 20 589,2 тыс. рублей: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left="0" w:firstLine="708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- в виде оплаты штрафных санкций по предписаниям страховых медицинских организаций по результатам медико-экономического контроля, медико-экономической экспертизы, экспертизы качества медицинской помощи - 20 478,0 тыс. рублей;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left="0" w:firstLine="708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- утилизированные лекарственные средства и химические препараты с истекшим сроком годности - 111,2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тыс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. рублей.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 целью исключения случаев неэффективного использования денежных средств ОМС административно-управленческому персоналу медицинских организаций необходимо: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- усилить внутренний контроль объемов, сроков, качества и условий предоставления медицинской помощи в целях недопущения штрафных санкций по предписаниям страховых медицинских организаций;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- осуществлять в постоянном реж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име контроль учета медикаментов, химических реактивов и расходных материалов и использовать эти данные для формирования рациональных запасов медикаментов, а также своевременно принимать меры по реализации лекарственных средств с истекающим сроком годности.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Выявленные при проверках нарушения приводят к отвлечению средств обязательного медицинского страхования, снижению финансовой устойчивости и образованию кредиторской задолженности в медицинских организациях.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Исключени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е в медицинских организациях фактов нецелевого и неэффективного использования средств ОМС является дополнительным источником для своевременных расчетов с поставщиками за материальные ценности, и как следствие приводит к снижению кредиторской задолженности.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Руково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дителям медицинских организаций необходимо принять меры по усилению финансовой дисциплины. Недопустимость нецелевого расходования средств ОМС медицинскими организациями следует признать одним из основополагающих принципов деятельности указанных субъектов,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соблюдение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которого частично гарантирует достижение поставленных перед ними задач.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В соответствии с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-4"/>
          <w:sz w:val="28"/>
          <w:szCs w:val="28"/>
          <w:highlight w:val="none"/>
        </w:rPr>
        <w:t xml:space="preserve">Приказом Минфина России от 26.09.2024 № 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 установлены 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ероприятия по недопущению образования просроченной дебиторской задолженности по доходам, в том числе урегулирование дебиторской задолженности в досудебном порядке (со дня истечения срока уплаты соответствующего платежа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 в бюджет (пеней, штрафов) до начала работы по их принудительному взысканию, а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 также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</w:t>
      </w:r>
      <w:r>
        <w:rPr>
          <w:b w:val="0"/>
          <w:bCs w:val="0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14"/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shd w:val="clear" w:color="auto" w:fill="cccccc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 Арбитражном суде Липецкой области с участием ТФОМС Липецкой области рассматриваются следующие дела, относящиеся к категориям экономических споров по административным правоотношениям и экономических споров по гражданским правоотношениям: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pStyle w:val="914"/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1. По заявлению ТФОМС Липецкой области 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pStyle w:val="914"/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- ГУЗ «Центр скорой медицинской помощи и медицины 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атас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троф Липецкой области» о взыскании с медицинской организации суммы средств ОМС, израсходованных не по целевому назначению в размере 1 469 775,81 рублей; суммы штрафа за нецелевое использование средств ОМС в размере 356 681,24 рублей (дело № А36-7221/2025);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pStyle w:val="914"/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2. По заявлениям к ТФОМС Липецкой области: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pStyle w:val="914"/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- ГУЗ «Областная детская больница» о признании недействительным акта проверки использования средств ОМС от 10.06.2025 в части признания нецелевым расходованием средств ОМС в сумме 1 532 042,54 рублей, испо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льзова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ных на оплату расходов по страхованию гражданской ответственности за причинение вреда в результате аварии на опасном объекте и оплату труда медицинским работникам, не имеющим сертификации/аккредитации по соответствующей специальности (дело № А36-7366/2025)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pStyle w:val="914"/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- ООО «МЕДИЦИНСКИЙ ЦЕНТР «ЖИЗНЬ»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en-US" w:eastAsia="zh-CN"/>
        </w:rPr>
        <w:t xml:space="preserve">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 w:eastAsia="zh-CN"/>
        </w:rPr>
        <w:t xml:space="preserve">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 w:eastAsia="zh-CN"/>
        </w:rPr>
        <w:t xml:space="preserve">ризнании недействительным акта проверки использования средств обязательного медицинского страхования от 05.12.2024 в части признания нецелевым расходованием средств ОМС в сумме 947 121 рублей,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en-US" w:eastAsia="zh-CN"/>
        </w:rPr>
        <w:t xml:space="preserve">ш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трафа в размере 94 712,10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 руб. (№ А36-2327/2025);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pStyle w:val="914"/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- ООО «Промышленная Медицинская Компания – Медицинский Центр» о признании недействительным акта проверки использования средств обязательного медицинского страхования от 05.08.2024 в части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оплаты договоров на проведение лабораторных исследований биологического материала пациентов, оплаты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земельного налога и налога на имущество объектов арендованной недвижимости, приобретению долговременных катетеров для гемодиализа на в размере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70 6365,26 рублей,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 штрафа з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а временное отвлечение средств ОМС в размере 421 900,00 рублей (№ А36-7829/2024);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pStyle w:val="914"/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Арбитражным судом Липецкой области принято решение от 10.07.2025 по делу № А36-10641/2024, которым ООО «Фрезениус Нефрокеа» отказано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в удовлетворении заявления о признании недействительным требования ТФОМС Липецкой области о восстановлении средств ОМС, использованных не по целевому назначению  в размере 576 825 рублей и уплате штрафа в размере 57 682 рублей.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</w:rPr>
        <w:t xml:space="preserve">ООО «Фрезениус Нефрокеа» подана апелляционная жалоба.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zh-CN"/>
          <w14:ligatures w14:val="none"/>
        </w:rPr>
      </w:r>
    </w:p>
    <w:p>
      <w:pPr>
        <w:ind w:left="0" w:right="0" w:firstLine="720"/>
        <w:jc w:val="both"/>
        <w:spacing w:line="240" w:lineRule="auto"/>
        <w:tabs>
          <w:tab w:val="left" w:pos="142" w:leader="none"/>
          <w:tab w:val="clear" w:pos="720" w:leader="none"/>
        </w:tabs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  <w:shd w:val="clear" w:color="auto" w:fill="cccccc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По состоянию на 01.01.2025 просроченная кредиторская задолженность государственны</w: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  <w:t xml:space="preserve">х медицинских организаций перед поставщиками за поставленные материальные ценности и оказанные услуги составляла 3,8 млн. рублей. За 9 месяцев 2025 года она увеличилась на 284,9 млн. рублей, достигнув размера по состоянию на 01.10.2025 - 288,7 млн. рублей.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Style w:val="914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ра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мках контроля объемов, сроков, качества и условий оказания медицинской помощи, оказанной медицинскими организациями Липецкой области, специалистами СМО в отчетном периоде проводились экспертные мероприятия в соответствии с действующими нормативными актами.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январь-</w:t>
      </w:r>
      <w:r>
        <w:rPr>
          <w:sz w:val="28"/>
          <w:szCs w:val="28"/>
        </w:rPr>
        <w:t xml:space="preserve">сентябрь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ТФОМС и СМО было рассмотрено </w:t>
      </w:r>
      <w:r>
        <w:rPr>
          <w:sz w:val="28"/>
          <w:szCs w:val="28"/>
        </w:rPr>
        <w:t xml:space="preserve">64 193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ще</w:t>
      </w:r>
      <w:r>
        <w:rPr>
          <w:sz w:val="28"/>
          <w:szCs w:val="28"/>
        </w:rPr>
        <w:t xml:space="preserve">ний. В сравне</w:t>
      </w:r>
      <w:r>
        <w:rPr>
          <w:sz w:val="28"/>
          <w:szCs w:val="28"/>
        </w:rPr>
        <w:t xml:space="preserve">нии с аналогичным периодом 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года количество обращений </w:t>
      </w:r>
      <w:r>
        <w:rPr>
          <w:sz w:val="28"/>
          <w:szCs w:val="28"/>
        </w:rPr>
        <w:t xml:space="preserve">увеличилось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на 43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Всего обращений за разъяснениями, в том числе заявлений,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63 994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наибольшее количество по 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просам выбора и/или замены СМО, включение в единый регистр застрахованных, обеспечение выдачи полисов, о переоформлении полиса ОМС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49 021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общего количества.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 отчетный период в СМО поступило 11 бл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годарностей от застрахованных лиц.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За период январь-</w:t>
      </w:r>
      <w:r>
        <w:rPr>
          <w:sz w:val="28"/>
          <w:szCs w:val="28"/>
        </w:rPr>
        <w:t xml:space="preserve">сентябрь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поступило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88 </w:t>
      </w:r>
      <w:r>
        <w:rPr>
          <w:sz w:val="28"/>
          <w:szCs w:val="28"/>
        </w:rPr>
        <w:t xml:space="preserve">жалоб или 0,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% от о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ще</w:t>
      </w:r>
      <w:r>
        <w:rPr>
          <w:sz w:val="28"/>
          <w:szCs w:val="28"/>
        </w:rPr>
        <w:t xml:space="preserve">го числа обращений; в 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году данный показатель составлял </w:t>
      </w:r>
      <w:r>
        <w:rPr>
          <w:sz w:val="28"/>
          <w:szCs w:val="28"/>
        </w:rPr>
        <w:t xml:space="preserve">149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0,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%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Все жалобы рассмотрены в досудебном порядке, </w:t>
      </w:r>
      <w:r>
        <w:rPr>
          <w:sz w:val="28"/>
          <w:szCs w:val="28"/>
        </w:rPr>
        <w:t xml:space="preserve">в установленные законом сроки, </w:t>
      </w:r>
      <w:r>
        <w:rPr>
          <w:sz w:val="28"/>
          <w:szCs w:val="28"/>
        </w:rPr>
        <w:t xml:space="preserve">обоснованными признано </w:t>
      </w:r>
      <w:r>
        <w:rPr>
          <w:sz w:val="28"/>
          <w:szCs w:val="28"/>
        </w:rPr>
        <w:t xml:space="preserve">144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%), за </w:t>
      </w:r>
      <w:r>
        <w:rPr>
          <w:sz w:val="28"/>
          <w:szCs w:val="28"/>
        </w:rPr>
        <w:t xml:space="preserve">аналогичный период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91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жалоб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%) бы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призна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обоснованн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Структура обоснованных жалоб по причинам сложилась следующим обра</w:t>
      </w:r>
      <w:r>
        <w:rPr>
          <w:sz w:val="28"/>
          <w:szCs w:val="28"/>
        </w:rPr>
        <w:t xml:space="preserve">зом: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- 51</w:t>
      </w:r>
      <w:r>
        <w:rPr>
          <w:sz w:val="28"/>
          <w:szCs w:val="28"/>
        </w:rPr>
        <w:t xml:space="preserve"> жалоб (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%) на </w:t>
      </w:r>
      <w:r>
        <w:rPr>
          <w:sz w:val="28"/>
          <w:szCs w:val="28"/>
        </w:rPr>
        <w:t xml:space="preserve">качество</w:t>
      </w:r>
      <w:r>
        <w:rPr>
          <w:sz w:val="28"/>
          <w:szCs w:val="28"/>
        </w:rPr>
        <w:t xml:space="preserve"> медицинской помощи;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- 1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жалоб (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%) на организацию работы медицинской организации;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- 70</w:t>
      </w:r>
      <w:r>
        <w:rPr>
          <w:sz w:val="28"/>
          <w:szCs w:val="28"/>
        </w:rPr>
        <w:t xml:space="preserve"> жалоб (</w:t>
      </w:r>
      <w:r>
        <w:rPr>
          <w:sz w:val="28"/>
          <w:szCs w:val="28"/>
        </w:rPr>
        <w:t xml:space="preserve">50</w:t>
      </w:r>
      <w:r>
        <w:rPr>
          <w:sz w:val="28"/>
          <w:szCs w:val="28"/>
        </w:rPr>
        <w:t xml:space="preserve">%) на </w:t>
      </w:r>
      <w:r>
        <w:rPr>
          <w:sz w:val="28"/>
          <w:szCs w:val="28"/>
        </w:rPr>
        <w:t xml:space="preserve">недостоверные сведения об оказанных</w:t>
      </w:r>
      <w:r>
        <w:rPr>
          <w:sz w:val="28"/>
          <w:szCs w:val="28"/>
        </w:rPr>
        <w:t xml:space="preserve"> медицинских услугах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- 2 </w:t>
      </w:r>
      <w:r>
        <w:rPr>
          <w:sz w:val="28"/>
          <w:szCs w:val="28"/>
        </w:rPr>
        <w:t xml:space="preserve">жалоб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%) на </w:t>
      </w:r>
      <w:r>
        <w:rPr>
          <w:sz w:val="28"/>
          <w:szCs w:val="28"/>
        </w:rPr>
        <w:t xml:space="preserve">проведение профилактических мероприятий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- 6</w:t>
      </w:r>
      <w:r>
        <w:rPr>
          <w:sz w:val="28"/>
          <w:szCs w:val="28"/>
        </w:rPr>
        <w:t xml:space="preserve"> жалобы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%) на </w:t>
      </w:r>
      <w:r>
        <w:rPr>
          <w:sz w:val="28"/>
          <w:szCs w:val="28"/>
        </w:rPr>
        <w:t xml:space="preserve">отказ</w:t>
      </w:r>
      <w:r>
        <w:rPr>
          <w:sz w:val="28"/>
          <w:szCs w:val="28"/>
        </w:rPr>
        <w:t xml:space="preserve"> в оказании медицинской помощи по программе ОМС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- 1 жалоба (1%) на приобретение пациентом лекарственных препаратов, медици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ских изделий, расходных материалов при получении медицинской помощи в д/с, к/с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- 2 жалобы (</w:t>
      </w:r>
      <w:r>
        <w:rPr>
          <w:sz w:val="28"/>
          <w:szCs w:val="28"/>
        </w:rPr>
        <w:t xml:space="preserve">1%) - прочие причины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рамках контроля объемов, сроков, качества и условий оказания медицин</w:t>
      </w:r>
      <w:r>
        <w:rPr>
          <w:sz w:val="28"/>
          <w:szCs w:val="28"/>
        </w:rPr>
        <w:t xml:space="preserve">ской помощи, оказанной медицинскими организациями Липецкой области, спе</w:t>
      </w:r>
      <w:r>
        <w:rPr>
          <w:sz w:val="28"/>
          <w:szCs w:val="28"/>
        </w:rPr>
        <w:t xml:space="preserve">циалистами СМО в отчетном периоде проводи</w:t>
      </w:r>
      <w:r>
        <w:rPr>
          <w:sz w:val="28"/>
          <w:szCs w:val="28"/>
        </w:rPr>
        <w:t xml:space="preserve">лись экспертные мероприятия в соо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ветствии с действующими нормативными ак</w:t>
      </w:r>
      <w:r>
        <w:rPr>
          <w:sz w:val="28"/>
          <w:szCs w:val="28"/>
        </w:rPr>
        <w:t xml:space="preserve">тами.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За период январь-</w:t>
      </w:r>
      <w:r>
        <w:rPr>
          <w:sz w:val="28"/>
          <w:szCs w:val="28"/>
        </w:rPr>
        <w:t xml:space="preserve">сентябрь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года подвергнуто экспертизам </w:t>
      </w:r>
      <w:r>
        <w:rPr>
          <w:sz w:val="28"/>
          <w:szCs w:val="28"/>
        </w:rPr>
        <w:t xml:space="preserve">96,1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 стр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ховых случаев медицинской помощи, оказанных гражданам, застрахованным на территории Липецкой области, в том числе в ходе плановых проверок </w:t>
      </w:r>
      <w:r>
        <w:rPr>
          <w:sz w:val="28"/>
          <w:szCs w:val="28"/>
        </w:rPr>
        <w:t xml:space="preserve">33,9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тысяч.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медико-экономических экспертиз (МЭЭ) за </w:t>
      </w:r>
      <w:r>
        <w:rPr>
          <w:sz w:val="28"/>
          <w:szCs w:val="28"/>
        </w:rPr>
        <w:t xml:space="preserve">январь-</w:t>
      </w:r>
      <w:r>
        <w:rPr>
          <w:sz w:val="28"/>
          <w:szCs w:val="28"/>
        </w:rPr>
        <w:t xml:space="preserve">сентябрь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год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бы</w:t>
      </w:r>
      <w:r>
        <w:rPr>
          <w:sz w:val="28"/>
          <w:szCs w:val="28"/>
        </w:rPr>
        <w:t xml:space="preserve">ло проанализировано </w:t>
      </w:r>
      <w:r>
        <w:rPr>
          <w:sz w:val="28"/>
          <w:szCs w:val="28"/>
        </w:rPr>
        <w:t xml:space="preserve">75,0</w:t>
      </w:r>
      <w:r>
        <w:rPr>
          <w:sz w:val="28"/>
          <w:szCs w:val="28"/>
        </w:rPr>
        <w:t xml:space="preserve"> тыс. случаев оказания медицинской помощи, в том числе при целевых проверках </w:t>
      </w:r>
      <w:r>
        <w:rPr>
          <w:sz w:val="28"/>
          <w:szCs w:val="28"/>
        </w:rPr>
        <w:t xml:space="preserve">47,8</w:t>
      </w:r>
      <w:r>
        <w:rPr>
          <w:sz w:val="28"/>
          <w:szCs w:val="28"/>
        </w:rPr>
        <w:t xml:space="preserve"> тыс. случаев.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результате МЭЭ был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установлен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21 806</w:t>
      </w:r>
      <w:r>
        <w:rPr>
          <w:sz w:val="28"/>
          <w:szCs w:val="28"/>
        </w:rPr>
        <w:t xml:space="preserve"> нарушени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29</w:t>
      </w:r>
      <w:r>
        <w:rPr>
          <w:sz w:val="28"/>
          <w:szCs w:val="28"/>
        </w:rPr>
        <w:t xml:space="preserve">%), </w:t>
      </w:r>
      <w:r>
        <w:rPr>
          <w:sz w:val="28"/>
          <w:szCs w:val="28"/>
        </w:rPr>
        <w:t xml:space="preserve">отмечается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значительное увеличение </w:t>
      </w:r>
      <w:r>
        <w:rPr>
          <w:sz w:val="28"/>
          <w:szCs w:val="28"/>
        </w:rPr>
        <w:t xml:space="preserve">количеств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дефектов </w:t>
      </w:r>
      <w:r>
        <w:rPr>
          <w:sz w:val="28"/>
          <w:szCs w:val="28"/>
        </w:rPr>
        <w:t xml:space="preserve">в сравнении с анало</w:t>
      </w:r>
      <w:r>
        <w:rPr>
          <w:sz w:val="28"/>
          <w:szCs w:val="28"/>
        </w:rPr>
        <w:t xml:space="preserve">гичным пери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дом 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года,</w:t>
      </w:r>
      <w:r>
        <w:rPr>
          <w:sz w:val="28"/>
          <w:szCs w:val="28"/>
        </w:rPr>
        <w:t xml:space="preserve"> когда</w:t>
      </w:r>
      <w:r>
        <w:rPr>
          <w:sz w:val="28"/>
          <w:szCs w:val="28"/>
        </w:rPr>
        <w:t xml:space="preserve"> данный по</w:t>
      </w:r>
      <w:r>
        <w:rPr>
          <w:sz w:val="28"/>
          <w:szCs w:val="28"/>
        </w:rPr>
        <w:t xml:space="preserve">казатель состав</w:t>
      </w:r>
      <w:r>
        <w:rPr>
          <w:sz w:val="28"/>
          <w:szCs w:val="28"/>
        </w:rPr>
        <w:t xml:space="preserve">лял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% (в 202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%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Количество нарушений по причине «непредставление первичной медицинской документации, подтверждающей факт оказания ЗЛ медицинской помощи</w:t>
      </w:r>
      <w:r>
        <w:rPr>
          <w:sz w:val="28"/>
          <w:szCs w:val="28"/>
        </w:rPr>
        <w:t xml:space="preserve">»,</w:t>
      </w:r>
      <w:r>
        <w:rPr>
          <w:sz w:val="28"/>
          <w:szCs w:val="28"/>
        </w:rPr>
        <w:t xml:space="preserve"> состав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ло</w:t>
      </w:r>
      <w:r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5 986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% от </w:t>
      </w:r>
      <w:r>
        <w:rPr>
          <w:sz w:val="28"/>
          <w:szCs w:val="28"/>
        </w:rPr>
        <w:t xml:space="preserve">общего количества нарушений</w:t>
      </w:r>
      <w:r>
        <w:rPr>
          <w:sz w:val="28"/>
          <w:szCs w:val="28"/>
        </w:rPr>
        <w:t xml:space="preserve">, по сравнению с аналогичным периодом 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года количество данных нарушений </w:t>
      </w:r>
      <w:r>
        <w:rPr>
          <w:sz w:val="28"/>
          <w:szCs w:val="28"/>
        </w:rPr>
        <w:t xml:space="preserve">увеличилось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раз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Количество нарушений по причине «несоответствие данных первичной мед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цинской документации данным реестра счетов», составило - </w:t>
      </w:r>
      <w:r>
        <w:rPr>
          <w:sz w:val="28"/>
          <w:szCs w:val="28"/>
        </w:rPr>
        <w:t xml:space="preserve">13 702</w:t>
      </w:r>
      <w:r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63</w:t>
      </w:r>
      <w:r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от о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щего количества нарушений</w:t>
      </w:r>
      <w:r>
        <w:rPr>
          <w:sz w:val="28"/>
          <w:szCs w:val="28"/>
        </w:rPr>
        <w:t xml:space="preserve">, что в </w:t>
      </w:r>
      <w:r>
        <w:rPr>
          <w:sz w:val="28"/>
          <w:szCs w:val="28"/>
        </w:rPr>
        <w:t xml:space="preserve">1,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раза больше, чем в аналогичном периоде 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года.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Количество нарушений по причине «</w:t>
      </w:r>
      <w:r>
        <w:rPr>
          <w:sz w:val="28"/>
          <w:szCs w:val="28"/>
        </w:rPr>
        <w:t xml:space="preserve">отсутствие в документации информир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ванного добровольного согласия застрахованного лица на медицинское вмешател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ство</w:t>
      </w:r>
      <w:r>
        <w:rPr>
          <w:sz w:val="28"/>
          <w:szCs w:val="28"/>
        </w:rPr>
        <w:t xml:space="preserve">»,  составило – </w:t>
      </w:r>
      <w:r>
        <w:rPr>
          <w:sz w:val="28"/>
          <w:szCs w:val="28"/>
        </w:rPr>
        <w:t xml:space="preserve">955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%</w:t>
      </w:r>
      <w:r>
        <w:rPr>
          <w:sz w:val="28"/>
          <w:szCs w:val="28"/>
        </w:rPr>
        <w:t xml:space="preserve"> от общего количества нарушений</w:t>
      </w:r>
      <w:r>
        <w:rPr>
          <w:sz w:val="28"/>
          <w:szCs w:val="28"/>
        </w:rPr>
        <w:t xml:space="preserve">, что </w:t>
      </w:r>
      <w:r>
        <w:rPr>
          <w:sz w:val="28"/>
          <w:szCs w:val="28"/>
        </w:rPr>
        <w:t xml:space="preserve">почти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5</w:t>
      </w:r>
      <w:r>
        <w:rPr>
          <w:sz w:val="28"/>
          <w:szCs w:val="28"/>
        </w:rPr>
        <w:t xml:space="preserve"> раз </w:t>
      </w:r>
      <w:r>
        <w:rPr>
          <w:sz w:val="28"/>
          <w:szCs w:val="28"/>
        </w:rPr>
        <w:t xml:space="preserve">меньше</w:t>
      </w:r>
      <w:r>
        <w:rPr>
          <w:sz w:val="28"/>
          <w:szCs w:val="28"/>
        </w:rPr>
        <w:t xml:space="preserve">, чем в аналогичном периоде 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ходе экспертиз  качества медицинской помощи (ЭКМП) было проанализ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ровано </w:t>
      </w:r>
      <w:r>
        <w:rPr>
          <w:sz w:val="28"/>
          <w:szCs w:val="28"/>
        </w:rPr>
        <w:t xml:space="preserve">21,2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 </w:t>
      </w:r>
      <w:r>
        <w:rPr>
          <w:sz w:val="28"/>
          <w:szCs w:val="28"/>
        </w:rPr>
        <w:t xml:space="preserve">слу</w:t>
      </w:r>
      <w:r>
        <w:rPr>
          <w:sz w:val="28"/>
          <w:szCs w:val="28"/>
        </w:rPr>
        <w:t xml:space="preserve">чаев оказания медицинской помощи, в том числе при целевых проверках 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14,4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 случаев.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результате ЭКМП было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установлен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6 973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нарушени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%),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аналогичн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период 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 года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данный показатель составлял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Наибольшее количество нарушений – «невыполнение, несвоевременное или ненадлежащее выполнение необходимых пациенту диагностических и (или) лече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ных мероприятий, оперативных вмешательств в соответствии с порядками оказания медицинской помощи, на основе клинических рекомендаций и с учетом стандартов медицинской помощи»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2 837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общего количества нарушений, в том чи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 при проведении диспансеризации определенных групп взрослого населения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1 023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%).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проведении ЭКМП установлены нарушения из раздела 2 Перечня основ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ний для отказа в оплате медицинской помощи (уменьшения в оплате медицинской помощи), количество их составило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2 229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общего количества наруш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ний, в том числе: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«несоответствие данных первичной медицинской документации данным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естра счетов», составило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1 198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количества нарушений из раздела 2;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«отсутствие в документации информированного добровольного согласия 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страхованного лица на медицинское вмешательство», составило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187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личества нарушений из раздела 2;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«непредставление первичной медицинской документации, подтверждающей факт оказания ЗЛ медицинской помощи», составило 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535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 от общего кол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чества нарушений из раздела 2.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12"/>
        <w:ind w:firstLine="700"/>
        <w:spacing w:before="0" w:after="0" w:afterAutospacing="0" w:line="283" w:lineRule="atLeast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МЭЭ и ЭКМП к медицинским организациям применены финан</w:t>
      </w:r>
      <w:r>
        <w:rPr>
          <w:sz w:val="28"/>
          <w:szCs w:val="28"/>
        </w:rPr>
        <w:t xml:space="preserve">совые санкции в размере </w:t>
      </w:r>
      <w:r>
        <w:rPr>
          <w:sz w:val="28"/>
          <w:szCs w:val="28"/>
        </w:rPr>
        <w:t xml:space="preserve">104,1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млн. рублей (202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91,0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млн. рублей).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 9 месяцев 2025 года проведено 139 333 контрольно-экспертных мероприятия по случаям оказания медицинской помощи пациентам с подозрением на злокачественные новообразования (ЗНО) и/или с подтвержденным диагноз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ом ЗНО, в том числе 134 489 медико-экономического контроля, 4 290 медико-экономических экспертиз, 554 экспертиз качества медицинской помощи. По результатам контрольно-экспертных мероприятий выявлено 4 509 дефектов, в том числе 2 375 по страховым случаям с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применением химиотерапии.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период январь-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сентябр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года специалистами ТФОМС Липецкой об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ласти и экспертами качества медицинской помощи, входящими в реестр экспер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тов качества медицинской помощи, привлекаемыми на договорной основе, прово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дились повторные медико-экономические экспертизы и  экспертизы качества медицинской помощи.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Количество страховых случаев, подвергшихся повторной МЭЭ, составило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1 563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количество страховых случаев, подвергшихся повторной ЭКМП, составило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703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что соответствует требованиям приказа ФФОМС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.20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231н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«Об утверждении Порядка проведения контроля объемов, сроков, 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чества и условий предоставления медицинской помощи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обязательному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медицинскому страхов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нию, а также ее финансового обеспечения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14:ligatures w14:val="none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Установлены нарушения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случаях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%), допущенны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медицинскими орг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низациями, но не выявленны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СМО при первичном проведении экспертиз. По итогам повторных экспертиз к СМО применены штрафные санкций в размере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5 596,00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рублей - 10% от суммы, необоснованно оплаченной медицинским организ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циям.</w:t>
      </w:r>
      <w:r>
        <w:rPr>
          <w:rFonts w:ascii="Times New Roman" w:hAnsi="Times New Roman" w:eastAsia="Times New Roman" w:cs="Times New Roman"/>
          <w:bCs/>
          <w:sz w:val="28"/>
          <w:szCs w:val="28"/>
          <w14:ligatures w14:val="none"/>
        </w:rPr>
      </w:r>
      <w:r>
        <w:rPr>
          <w:rFonts w:ascii="Times New Roman" w:hAnsi="Times New Roman" w:eastAsia="Times New Roman" w:cs="Times New Roman"/>
          <w:bCs/>
          <w:sz w:val="28"/>
          <w:szCs w:val="28"/>
          <w14:ligatures w14:val="none"/>
        </w:rPr>
      </w:r>
    </w:p>
    <w:p>
      <w:pPr>
        <w:ind w:firstLine="700"/>
        <w:jc w:val="both"/>
        <w:spacing w:after="0" w:afterAutospacing="0" w:line="283" w:lineRule="atLeast"/>
        <w:widowControl w:val="off"/>
        <w:rPr>
          <w:rFonts w:ascii="Times New Roman" w:hAnsi="Times New Roman" w:eastAsia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 августа 2022 года страховыми медицинскими организациями в соответствии с требованиями приказа Минздрава России от 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9.07.2022 № 495 «Об утверждении методики расчета дополнительного показателя «Оценка общественного мнения по удовлетворенности населения медицинской помощью, %» федерального проекта «Модернизация первичного звена Российской Федерации» ежемесячно проводится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опрос населения по удовлетворенности населения медицинской помощью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Процент удовлетворенности за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квартал 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года составил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07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%.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14:ligatures w14:val="none"/>
        </w:rPr>
      </w:r>
      <w:r>
        <w:rPr>
          <w:rFonts w:ascii="Times New Roman" w:hAnsi="Times New Roman" w:eastAsia="Times New Roman" w:cs="Times New Roman"/>
          <w14:ligatures w14:val="none"/>
        </w:rPr>
      </w:r>
    </w:p>
    <w:p>
      <w:pPr>
        <w:pStyle w:val="885"/>
        <w:ind w:firstLine="720"/>
        <w:jc w:val="both"/>
        <w:spacing w:after="0"/>
        <w:tabs>
          <w:tab w:val="left" w:pos="720" w:leader="none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85"/>
        <w:ind w:firstLine="720"/>
        <w:jc w:val="both"/>
        <w:spacing w:after="0"/>
        <w:tabs>
          <w:tab w:val="left" w:pos="720" w:leader="none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  <w:r>
        <w:rPr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709" w:right="850" w:bottom="709" w:left="1418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Lohit Devanagari">
    <w:panose1 w:val="02000603000000000000"/>
  </w:font>
  <w:font w:name="Open Sans">
    <w:panose1 w:val="020B060603050402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8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50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22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66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38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82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1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6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68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0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12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4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56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28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0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725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13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1733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453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173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3893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4613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333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053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965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685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405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125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45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565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285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05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725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73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145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17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289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361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433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05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5771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83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03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923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643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63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83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803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23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243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  <w:lang w:val="ru-RU"/>
      </w:r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26"/>
  </w:num>
  <w:num w:numId="3">
    <w:abstractNumId w:val="17"/>
  </w:num>
  <w:num w:numId="4">
    <w:abstractNumId w:val="1"/>
  </w:num>
  <w:num w:numId="5">
    <w:abstractNumId w:val="23"/>
  </w:num>
  <w:num w:numId="6">
    <w:abstractNumId w:val="11"/>
  </w:num>
  <w:num w:numId="7">
    <w:abstractNumId w:val="22"/>
  </w:num>
  <w:num w:numId="8">
    <w:abstractNumId w:val="19"/>
  </w:num>
  <w:num w:numId="9">
    <w:abstractNumId w:val="15"/>
  </w:num>
  <w:num w:numId="10">
    <w:abstractNumId w:val="2"/>
  </w:num>
  <w:num w:numId="11">
    <w:abstractNumId w:val="18"/>
  </w:num>
  <w:num w:numId="12">
    <w:abstractNumId w:val="13"/>
  </w:num>
  <w:num w:numId="13">
    <w:abstractNumId w:val="5"/>
  </w:num>
  <w:num w:numId="14">
    <w:abstractNumId w:val="27"/>
  </w:num>
  <w:num w:numId="15">
    <w:abstractNumId w:val="25"/>
  </w:num>
  <w:num w:numId="16">
    <w:abstractNumId w:val="3"/>
  </w:num>
  <w:num w:numId="17">
    <w:abstractNumId w:val="0"/>
  </w:num>
  <w:num w:numId="18">
    <w:abstractNumId w:val="8"/>
  </w:num>
  <w:num w:numId="19">
    <w:abstractNumId w:val="9"/>
  </w:num>
  <w:num w:numId="20">
    <w:abstractNumId w:val="10"/>
  </w:num>
  <w:num w:numId="21">
    <w:abstractNumId w:val="21"/>
  </w:num>
  <w:num w:numId="22">
    <w:abstractNumId w:val="20"/>
  </w:num>
  <w:num w:numId="23">
    <w:abstractNumId w:val="16"/>
  </w:num>
  <w:num w:numId="24">
    <w:abstractNumId w:val="14"/>
  </w:num>
  <w:num w:numId="25">
    <w:abstractNumId w:val="7"/>
  </w:num>
  <w:num w:numId="26">
    <w:abstractNumId w:val="12"/>
  </w:num>
  <w:num w:numId="27">
    <w:abstractNumId w:val="6"/>
  </w:num>
  <w:num w:numId="28">
    <w:abstractNumId w:val="24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3">
    <w:name w:val="Plain Table 1"/>
    <w:basedOn w:val="7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7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basedOn w:val="7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5 Dark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6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4">
    <w:name w:val="Grid Table 7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List Table 1 Light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List Table 2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27">
    <w:name w:val="List Table 3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4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5 Dark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0">
    <w:name w:val="List Table 6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31">
    <w:name w:val="List Table 7 Colorful"/>
    <w:basedOn w:val="7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32" w:default="1">
    <w:name w:val="Normal"/>
    <w:qFormat/>
    <w:pPr>
      <w:spacing w:after="200" w:line="276" w:lineRule="auto"/>
    </w:pPr>
  </w:style>
  <w:style w:type="paragraph" w:styleId="733">
    <w:name w:val="Heading 1"/>
    <w:basedOn w:val="732"/>
    <w:next w:val="732"/>
    <w:link w:val="85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734">
    <w:name w:val="Heading 2"/>
    <w:basedOn w:val="732"/>
    <w:next w:val="732"/>
    <w:link w:val="936"/>
    <w:uiPriority w:val="9"/>
    <w:unhideWhenUsed/>
    <w:qFormat/>
    <w:pPr>
      <w:keepLines/>
      <w:keepNext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735">
    <w:name w:val="Heading 3"/>
    <w:basedOn w:val="732"/>
    <w:next w:val="732"/>
    <w:link w:val="85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36">
    <w:name w:val="Heading 4"/>
    <w:basedOn w:val="732"/>
    <w:next w:val="732"/>
    <w:link w:val="86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7">
    <w:name w:val="Heading 5"/>
    <w:basedOn w:val="732"/>
    <w:next w:val="732"/>
    <w:link w:val="86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38">
    <w:name w:val="Heading 6"/>
    <w:basedOn w:val="732"/>
    <w:next w:val="732"/>
    <w:link w:val="86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39">
    <w:name w:val="Heading 7"/>
    <w:basedOn w:val="732"/>
    <w:next w:val="732"/>
    <w:link w:val="86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40">
    <w:name w:val="Heading 8"/>
    <w:basedOn w:val="732"/>
    <w:next w:val="732"/>
    <w:link w:val="86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41">
    <w:name w:val="Heading 9"/>
    <w:basedOn w:val="732"/>
    <w:next w:val="732"/>
    <w:link w:val="86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2" w:default="1">
    <w:name w:val="Default Paragraph Font"/>
    <w:uiPriority w:val="1"/>
    <w:semiHidden/>
    <w:unhideWhenUsed/>
  </w:style>
  <w:style w:type="table" w:styleId="7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4" w:default="1">
    <w:name w:val="No List"/>
    <w:uiPriority w:val="99"/>
    <w:semiHidden/>
    <w:unhideWhenUsed/>
  </w:style>
  <w:style w:type="table" w:styleId="745" w:customStyle="1">
    <w:name w:val="Таблица простая 11"/>
    <w:basedOn w:val="74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6" w:customStyle="1">
    <w:name w:val="Таблица простая 21"/>
    <w:basedOn w:val="74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7" w:customStyle="1">
    <w:name w:val="Таблица простая 3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8" w:customStyle="1">
    <w:name w:val="Таблица простая 4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Таблица простая 5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0" w:customStyle="1">
    <w:name w:val="Таблица-сетка 1 светлая1"/>
    <w:basedOn w:val="74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Таблица-сетка 2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Таблица-сетка 3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Таблица-сетка 41"/>
    <w:basedOn w:val="74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Таблица-сетка 5 темная1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5" w:customStyle="1">
    <w:name w:val="Таблица-сетк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6" w:customStyle="1">
    <w:name w:val="Таблица-сетка 7 цветная1"/>
    <w:basedOn w:val="74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Список-таблица 1 светлая1"/>
    <w:basedOn w:val="74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Список-таблица 21"/>
    <w:basedOn w:val="74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9" w:customStyle="1">
    <w:name w:val="Список-таблица 3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Список-таблица 4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Список-таблица 5 темная1"/>
    <w:basedOn w:val="74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2" w:customStyle="1">
    <w:name w:val="Список-таблиц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63" w:customStyle="1">
    <w:name w:val="Список-таблица 7 цветная1"/>
    <w:basedOn w:val="74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Таблица простая 11"/>
    <w:basedOn w:val="74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5" w:customStyle="1">
    <w:name w:val="Таблица простая 21"/>
    <w:basedOn w:val="74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6" w:customStyle="1">
    <w:name w:val="Таблица простая 3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7" w:customStyle="1">
    <w:name w:val="Таблица простая 4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Таблица простая 5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9" w:customStyle="1">
    <w:name w:val="Таблица-сетка 1 светлая1"/>
    <w:basedOn w:val="74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Таблица-сетка 2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Таблица-сетка 3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Таблица-сетка 41"/>
    <w:basedOn w:val="74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3" w:customStyle="1">
    <w:name w:val="Таблица-сетка 5 темная1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4" w:customStyle="1">
    <w:name w:val="Таблица-сетк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5" w:customStyle="1">
    <w:name w:val="Таблица-сетка 7 цветная1"/>
    <w:basedOn w:val="74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Список-таблица 1 светлая1"/>
    <w:basedOn w:val="74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Список-таблица 21"/>
    <w:basedOn w:val="74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8" w:customStyle="1">
    <w:name w:val="Список-таблица 3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Список-таблица 4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Список-таблица 5 темная1"/>
    <w:basedOn w:val="74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Список-таблиц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2" w:customStyle="1">
    <w:name w:val="Список-таблица 7 цветная1"/>
    <w:basedOn w:val="74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83" w:customStyle="1">
    <w:name w:val="Caption Char"/>
    <w:basedOn w:val="742"/>
    <w:uiPriority w:val="35"/>
    <w:rPr>
      <w:b/>
      <w:bCs/>
      <w:color w:val="4f81bd" w:themeColor="accent1"/>
      <w:sz w:val="18"/>
      <w:szCs w:val="18"/>
    </w:rPr>
  </w:style>
  <w:style w:type="table" w:styleId="784" w:customStyle="1">
    <w:name w:val="Таблица простая 11"/>
    <w:basedOn w:val="74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5" w:customStyle="1">
    <w:name w:val="Таблица простая 21"/>
    <w:basedOn w:val="74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6" w:customStyle="1">
    <w:name w:val="Таблица простая 3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7" w:customStyle="1">
    <w:name w:val="Таблица простая 4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Таблица простая 5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9" w:customStyle="1">
    <w:name w:val="Таблица-сетка 1 светлая1"/>
    <w:basedOn w:val="74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Таблица-сетка 2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Таблица-сетка 3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Таблица-сетка 41"/>
    <w:basedOn w:val="74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3" w:customStyle="1">
    <w:name w:val="Таблица-сетка 5 темная1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4" w:customStyle="1">
    <w:name w:val="Таблица-сетк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5" w:customStyle="1">
    <w:name w:val="Таблица-сетка 7 цветная1"/>
    <w:basedOn w:val="74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Список-таблица 1 светлая1"/>
    <w:basedOn w:val="74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Список-таблица 21"/>
    <w:basedOn w:val="74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8" w:customStyle="1">
    <w:name w:val="Список-таблица 3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Список-таблица 4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Список-таблица 5 темная1"/>
    <w:basedOn w:val="74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Список-таблиц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2" w:customStyle="1">
    <w:name w:val="Список-таблица 7 цветная1"/>
    <w:basedOn w:val="74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Таблица простая 11"/>
    <w:basedOn w:val="74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 w:customStyle="1">
    <w:name w:val="Таблица простая 21"/>
    <w:basedOn w:val="74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 w:customStyle="1">
    <w:name w:val="Таблица простая 3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6" w:customStyle="1">
    <w:name w:val="Таблица простая 4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Таблица простая 5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8" w:customStyle="1">
    <w:name w:val="Таблица-сетка 1 светлая1"/>
    <w:basedOn w:val="74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Таблица-сетка 2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Таблица-сетка 3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Таблица-сетка 41"/>
    <w:basedOn w:val="74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2" w:customStyle="1">
    <w:name w:val="Таблица-сетка 5 темная1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3" w:customStyle="1">
    <w:name w:val="Таблица-сетк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4" w:customStyle="1">
    <w:name w:val="Таблица-сетка 7 цветная1"/>
    <w:basedOn w:val="74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Список-таблица 1 светлая1"/>
    <w:basedOn w:val="74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Список-таблица 21"/>
    <w:basedOn w:val="74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7" w:customStyle="1">
    <w:name w:val="Список-таблица 3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Список-таблица 4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Список-таблица 5 темная1"/>
    <w:basedOn w:val="74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Список-таблиц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1" w:customStyle="1">
    <w:name w:val="Список-таблица 7 цветная1"/>
    <w:basedOn w:val="74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Таблица простая 11"/>
    <w:basedOn w:val="74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3" w:customStyle="1">
    <w:name w:val="Таблица простая 21"/>
    <w:basedOn w:val="74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4" w:customStyle="1">
    <w:name w:val="Таблица простая 3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25" w:customStyle="1">
    <w:name w:val="Таблица простая 4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Таблица простая 51"/>
    <w:basedOn w:val="74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27" w:customStyle="1">
    <w:name w:val="Таблица-сетка 1 светлая1"/>
    <w:basedOn w:val="74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Таблица-сетка 2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Таблица-сетка 3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Таблица-сетка 41"/>
    <w:basedOn w:val="74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1" w:customStyle="1">
    <w:name w:val="Таблица-сетка 5 темная1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2" w:customStyle="1">
    <w:name w:val="Таблица-сетк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3" w:customStyle="1">
    <w:name w:val="Таблица-сетка 7 цветная1"/>
    <w:basedOn w:val="74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Список-таблица 1 светлая1"/>
    <w:basedOn w:val="74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Список-таблица 21"/>
    <w:basedOn w:val="74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6" w:customStyle="1">
    <w:name w:val="Список-таблица 3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Список-таблица 4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Список-таблица 5 темная1"/>
    <w:basedOn w:val="74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Список-таблиц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0" w:customStyle="1">
    <w:name w:val="Список-таблица 7 цветная1"/>
    <w:basedOn w:val="74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41" w:customStyle="1">
    <w:name w:val="Heading 1 Char"/>
    <w:basedOn w:val="742"/>
    <w:uiPriority w:val="9"/>
    <w:qFormat/>
    <w:rPr>
      <w:rFonts w:ascii="Arial" w:hAnsi="Arial" w:eastAsia="Arial" w:cs="Arial"/>
      <w:sz w:val="40"/>
      <w:szCs w:val="40"/>
    </w:rPr>
  </w:style>
  <w:style w:type="character" w:styleId="842" w:customStyle="1">
    <w:name w:val="Heading 3 Char"/>
    <w:basedOn w:val="742"/>
    <w:uiPriority w:val="9"/>
    <w:qFormat/>
    <w:rPr>
      <w:rFonts w:ascii="Arial" w:hAnsi="Arial" w:eastAsia="Arial" w:cs="Arial"/>
      <w:sz w:val="30"/>
      <w:szCs w:val="30"/>
    </w:rPr>
  </w:style>
  <w:style w:type="character" w:styleId="843" w:customStyle="1">
    <w:name w:val="Heading 4 Char"/>
    <w:basedOn w:val="742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44" w:customStyle="1">
    <w:name w:val="Heading 5 Char"/>
    <w:basedOn w:val="742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45" w:customStyle="1">
    <w:name w:val="Heading 6 Char"/>
    <w:basedOn w:val="742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46" w:customStyle="1">
    <w:name w:val="Heading 7 Char"/>
    <w:basedOn w:val="742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47" w:customStyle="1">
    <w:name w:val="Heading 8 Char"/>
    <w:basedOn w:val="742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48" w:customStyle="1">
    <w:name w:val="Heading 9 Char"/>
    <w:basedOn w:val="74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49" w:customStyle="1">
    <w:name w:val="Title Char"/>
    <w:basedOn w:val="742"/>
    <w:uiPriority w:val="10"/>
    <w:qFormat/>
    <w:rPr>
      <w:sz w:val="48"/>
      <w:szCs w:val="48"/>
    </w:rPr>
  </w:style>
  <w:style w:type="character" w:styleId="850" w:customStyle="1">
    <w:name w:val="Subtitle Char"/>
    <w:basedOn w:val="742"/>
    <w:uiPriority w:val="11"/>
    <w:qFormat/>
    <w:rPr>
      <w:sz w:val="24"/>
      <w:szCs w:val="24"/>
    </w:rPr>
  </w:style>
  <w:style w:type="character" w:styleId="851" w:customStyle="1">
    <w:name w:val="Quote Char"/>
    <w:uiPriority w:val="29"/>
    <w:qFormat/>
    <w:rPr>
      <w:i/>
    </w:rPr>
  </w:style>
  <w:style w:type="character" w:styleId="852" w:customStyle="1">
    <w:name w:val="Intense Quote Char"/>
    <w:uiPriority w:val="30"/>
    <w:qFormat/>
    <w:rPr>
      <w:i/>
    </w:rPr>
  </w:style>
  <w:style w:type="character" w:styleId="853" w:customStyle="1">
    <w:name w:val="Header Char"/>
    <w:basedOn w:val="742"/>
    <w:uiPriority w:val="99"/>
    <w:qFormat/>
  </w:style>
  <w:style w:type="character" w:styleId="854" w:customStyle="1">
    <w:name w:val="Название объекта Знак"/>
    <w:link w:val="887"/>
    <w:uiPriority w:val="99"/>
    <w:qFormat/>
  </w:style>
  <w:style w:type="character" w:styleId="855" w:customStyle="1">
    <w:name w:val="Footnote Text Char"/>
    <w:uiPriority w:val="99"/>
    <w:qFormat/>
    <w:rPr>
      <w:sz w:val="18"/>
    </w:rPr>
  </w:style>
  <w:style w:type="character" w:styleId="856" w:customStyle="1">
    <w:name w:val="Endnote Text Char"/>
    <w:uiPriority w:val="99"/>
    <w:qFormat/>
    <w:rPr>
      <w:sz w:val="20"/>
    </w:rPr>
  </w:style>
  <w:style w:type="character" w:styleId="857" w:customStyle="1">
    <w:name w:val="Заголовок 1 Знак"/>
    <w:basedOn w:val="742"/>
    <w:link w:val="733"/>
    <w:uiPriority w:val="9"/>
    <w:qFormat/>
    <w:rPr>
      <w:rFonts w:ascii="Arial" w:hAnsi="Arial" w:eastAsia="Arial" w:cs="Arial"/>
      <w:sz w:val="40"/>
      <w:szCs w:val="40"/>
    </w:rPr>
  </w:style>
  <w:style w:type="character" w:styleId="858" w:customStyle="1">
    <w:name w:val="Heading 2 Char"/>
    <w:basedOn w:val="742"/>
    <w:uiPriority w:val="9"/>
    <w:qFormat/>
    <w:rPr>
      <w:rFonts w:ascii="Arial" w:hAnsi="Arial" w:eastAsia="Arial" w:cs="Arial"/>
      <w:sz w:val="34"/>
    </w:rPr>
  </w:style>
  <w:style w:type="character" w:styleId="859" w:customStyle="1">
    <w:name w:val="Заголовок 3 Знак"/>
    <w:basedOn w:val="742"/>
    <w:link w:val="735"/>
    <w:uiPriority w:val="9"/>
    <w:qFormat/>
    <w:rPr>
      <w:rFonts w:ascii="Arial" w:hAnsi="Arial" w:eastAsia="Arial" w:cs="Arial"/>
      <w:sz w:val="30"/>
      <w:szCs w:val="30"/>
    </w:rPr>
  </w:style>
  <w:style w:type="character" w:styleId="860" w:customStyle="1">
    <w:name w:val="Заголовок 4 Знак"/>
    <w:basedOn w:val="742"/>
    <w:link w:val="736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61" w:customStyle="1">
    <w:name w:val="Заголовок 5 Знак"/>
    <w:basedOn w:val="742"/>
    <w:link w:val="737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62" w:customStyle="1">
    <w:name w:val="Заголовок 6 Знак"/>
    <w:basedOn w:val="742"/>
    <w:link w:val="73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63" w:customStyle="1">
    <w:name w:val="Заголовок 7 Знак"/>
    <w:basedOn w:val="742"/>
    <w:link w:val="73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64" w:customStyle="1">
    <w:name w:val="Заголовок 8 Знак"/>
    <w:basedOn w:val="742"/>
    <w:link w:val="740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65" w:customStyle="1">
    <w:name w:val="Заголовок 9 Знак"/>
    <w:basedOn w:val="742"/>
    <w:link w:val="741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66" w:customStyle="1">
    <w:name w:val="Название Знак"/>
    <w:basedOn w:val="742"/>
    <w:link w:val="889"/>
    <w:uiPriority w:val="10"/>
    <w:qFormat/>
    <w:rPr>
      <w:sz w:val="48"/>
      <w:szCs w:val="48"/>
    </w:rPr>
  </w:style>
  <w:style w:type="character" w:styleId="867" w:customStyle="1">
    <w:name w:val="Подзаголовок Знак"/>
    <w:basedOn w:val="742"/>
    <w:link w:val="890"/>
    <w:uiPriority w:val="11"/>
    <w:qFormat/>
    <w:rPr>
      <w:sz w:val="24"/>
      <w:szCs w:val="24"/>
    </w:rPr>
  </w:style>
  <w:style w:type="character" w:styleId="868" w:customStyle="1">
    <w:name w:val="Цитата 2 Знак"/>
    <w:link w:val="891"/>
    <w:uiPriority w:val="29"/>
    <w:qFormat/>
    <w:rPr>
      <w:i/>
    </w:rPr>
  </w:style>
  <w:style w:type="character" w:styleId="869" w:customStyle="1">
    <w:name w:val="Выделенная цитата Знак"/>
    <w:link w:val="892"/>
    <w:uiPriority w:val="30"/>
    <w:qFormat/>
    <w:rPr>
      <w:i/>
    </w:rPr>
  </w:style>
  <w:style w:type="character" w:styleId="870" w:customStyle="1">
    <w:name w:val="Верхний колонтитул Знак"/>
    <w:basedOn w:val="742"/>
    <w:link w:val="894"/>
    <w:uiPriority w:val="99"/>
    <w:qFormat/>
  </w:style>
  <w:style w:type="character" w:styleId="871" w:customStyle="1">
    <w:name w:val="Footer Char"/>
    <w:basedOn w:val="742"/>
    <w:uiPriority w:val="99"/>
    <w:qFormat/>
  </w:style>
  <w:style w:type="character" w:styleId="872" w:customStyle="1">
    <w:name w:val="Нижний колонтитул Знак"/>
    <w:link w:val="895"/>
    <w:uiPriority w:val="99"/>
    <w:qFormat/>
  </w:style>
  <w:style w:type="character" w:styleId="873" w:customStyle="1">
    <w:name w:val="Текст сноски Знак"/>
    <w:link w:val="897"/>
    <w:uiPriority w:val="99"/>
    <w:qFormat/>
    <w:rPr>
      <w:sz w:val="18"/>
    </w:rPr>
  </w:style>
  <w:style w:type="character" w:styleId="874" w:customStyle="1">
    <w:name w:val="Символ сноски"/>
    <w:basedOn w:val="742"/>
    <w:uiPriority w:val="99"/>
    <w:unhideWhenUsed/>
    <w:qFormat/>
    <w:rPr>
      <w:vertAlign w:val="superscript"/>
    </w:rPr>
  </w:style>
  <w:style w:type="character" w:styleId="875">
    <w:name w:val="footnote reference"/>
    <w:rPr>
      <w:vertAlign w:val="superscript"/>
    </w:rPr>
  </w:style>
  <w:style w:type="character" w:styleId="876" w:customStyle="1">
    <w:name w:val="Текст концевой сноски Знак"/>
    <w:link w:val="898"/>
    <w:uiPriority w:val="99"/>
    <w:qFormat/>
    <w:rPr>
      <w:sz w:val="20"/>
    </w:rPr>
  </w:style>
  <w:style w:type="character" w:styleId="877" w:customStyle="1">
    <w:name w:val="Символ концевой сноски"/>
    <w:basedOn w:val="742"/>
    <w:uiPriority w:val="99"/>
    <w:semiHidden/>
    <w:unhideWhenUsed/>
    <w:qFormat/>
    <w:rPr>
      <w:vertAlign w:val="superscript"/>
    </w:rPr>
  </w:style>
  <w:style w:type="character" w:styleId="878">
    <w:name w:val="endnote reference"/>
    <w:rPr>
      <w:vertAlign w:val="superscript"/>
    </w:rPr>
  </w:style>
  <w:style w:type="character" w:styleId="879" w:customStyle="1">
    <w:name w:val="Основной текст Знак"/>
    <w:basedOn w:val="742"/>
    <w:link w:val="885"/>
    <w:qFormat/>
    <w:rPr>
      <w:rFonts w:ascii="Times New Roman" w:hAnsi="Times New Roman" w:eastAsia="Times New Roman" w:cs="Times New Roman"/>
      <w:sz w:val="20"/>
      <w:szCs w:val="20"/>
    </w:rPr>
  </w:style>
  <w:style w:type="character" w:styleId="880" w:customStyle="1">
    <w:name w:val="Текст выноски Знак"/>
    <w:basedOn w:val="742"/>
    <w:link w:val="911"/>
    <w:uiPriority w:val="99"/>
    <w:semiHidden/>
    <w:qFormat/>
    <w:rPr>
      <w:rFonts w:ascii="Tahoma" w:hAnsi="Tahoma" w:cs="Tahoma"/>
      <w:sz w:val="16"/>
      <w:szCs w:val="16"/>
    </w:rPr>
  </w:style>
  <w:style w:type="character" w:styleId="881" w:customStyle="1">
    <w:name w:val="Основной текст_"/>
    <w:link w:val="912"/>
    <w:qFormat/>
    <w:rPr>
      <w:rFonts w:ascii="Times New Roman" w:hAnsi="Times New Roman" w:eastAsia="Times New Roman" w:cs="Times New Roman"/>
      <w:sz w:val="27"/>
      <w:szCs w:val="27"/>
      <w:shd w:val="clear" w:color="auto" w:fill="ffffff"/>
    </w:rPr>
  </w:style>
  <w:style w:type="character" w:styleId="882">
    <w:name w:val="Hyperlink"/>
    <w:basedOn w:val="742"/>
    <w:uiPriority w:val="99"/>
    <w:semiHidden/>
    <w:unhideWhenUsed/>
    <w:rPr>
      <w:color w:val="0000ff"/>
      <w:u w:val="single"/>
    </w:rPr>
  </w:style>
  <w:style w:type="character" w:styleId="883" w:customStyle="1">
    <w:name w:val="Заголовок 2 Знак"/>
    <w:basedOn w:val="742"/>
    <w:uiPriority w:val="9"/>
    <w:qFormat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84" w:customStyle="1">
    <w:name w:val="Заголовок"/>
    <w:basedOn w:val="732"/>
    <w:next w:val="885"/>
    <w:qFormat/>
    <w:pPr>
      <w:keepNext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885">
    <w:name w:val="Body Text"/>
    <w:basedOn w:val="732"/>
    <w:link w:val="879"/>
    <w:pPr>
      <w:spacing w:after="120" w:line="240" w:lineRule="auto"/>
      <w:widowControl w:val="off"/>
    </w:pPr>
    <w:rPr>
      <w:rFonts w:ascii="Times New Roman" w:hAnsi="Times New Roman" w:eastAsia="Times New Roman" w:cs="Times New Roman"/>
      <w:sz w:val="20"/>
      <w:szCs w:val="20"/>
    </w:rPr>
  </w:style>
  <w:style w:type="paragraph" w:styleId="886">
    <w:name w:val="List"/>
    <w:basedOn w:val="885"/>
    <w:rPr>
      <w:rFonts w:cs="Lohit Devanagari"/>
    </w:rPr>
  </w:style>
  <w:style w:type="paragraph" w:styleId="887">
    <w:name w:val="Caption"/>
    <w:basedOn w:val="732"/>
    <w:link w:val="854"/>
    <w:qFormat/>
    <w:pPr>
      <w:spacing w:before="120" w:after="120"/>
      <w:suppressLineNumbers/>
    </w:pPr>
    <w:rPr>
      <w:rFonts w:cs="Lohit Devanagari"/>
      <w:i/>
      <w:iCs/>
      <w:sz w:val="24"/>
      <w:szCs w:val="24"/>
    </w:rPr>
  </w:style>
  <w:style w:type="paragraph" w:styleId="888">
    <w:name w:val="index heading"/>
    <w:basedOn w:val="884"/>
  </w:style>
  <w:style w:type="paragraph" w:styleId="889">
    <w:name w:val="Title"/>
    <w:basedOn w:val="732"/>
    <w:next w:val="732"/>
    <w:link w:val="866"/>
    <w:uiPriority w:val="10"/>
    <w:qFormat/>
    <w:pPr>
      <w:contextualSpacing/>
      <w:spacing w:before="300"/>
    </w:pPr>
    <w:rPr>
      <w:sz w:val="48"/>
      <w:szCs w:val="48"/>
    </w:rPr>
  </w:style>
  <w:style w:type="paragraph" w:styleId="890">
    <w:name w:val="Subtitle"/>
    <w:basedOn w:val="732"/>
    <w:next w:val="732"/>
    <w:link w:val="867"/>
    <w:uiPriority w:val="11"/>
    <w:qFormat/>
    <w:pPr>
      <w:spacing w:before="200"/>
    </w:pPr>
    <w:rPr>
      <w:sz w:val="24"/>
      <w:szCs w:val="24"/>
    </w:rPr>
  </w:style>
  <w:style w:type="paragraph" w:styleId="891">
    <w:name w:val="Quote"/>
    <w:basedOn w:val="732"/>
    <w:next w:val="732"/>
    <w:link w:val="868"/>
    <w:uiPriority w:val="29"/>
    <w:qFormat/>
    <w:pPr>
      <w:ind w:left="720" w:right="720"/>
    </w:pPr>
    <w:rPr>
      <w:i/>
    </w:rPr>
  </w:style>
  <w:style w:type="paragraph" w:styleId="892">
    <w:name w:val="Intense Quote"/>
    <w:basedOn w:val="732"/>
    <w:next w:val="732"/>
    <w:link w:val="86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93" w:customStyle="1">
    <w:name w:val="Колонтитул"/>
    <w:basedOn w:val="732"/>
    <w:qFormat/>
  </w:style>
  <w:style w:type="paragraph" w:styleId="894">
    <w:name w:val="Header"/>
    <w:basedOn w:val="732"/>
    <w:link w:val="87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95">
    <w:name w:val="Footer"/>
    <w:basedOn w:val="732"/>
    <w:link w:val="87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896" w:customStyle="1">
    <w:name w:val="caption1"/>
    <w:basedOn w:val="732"/>
    <w:next w:val="73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897">
    <w:name w:val="footnote text"/>
    <w:basedOn w:val="732"/>
    <w:link w:val="873"/>
    <w:uiPriority w:val="99"/>
    <w:semiHidden/>
    <w:unhideWhenUsed/>
    <w:pPr>
      <w:spacing w:after="40" w:line="240" w:lineRule="auto"/>
    </w:pPr>
    <w:rPr>
      <w:sz w:val="18"/>
    </w:rPr>
  </w:style>
  <w:style w:type="paragraph" w:styleId="898">
    <w:name w:val="endnote text"/>
    <w:basedOn w:val="732"/>
    <w:link w:val="876"/>
    <w:uiPriority w:val="99"/>
    <w:semiHidden/>
    <w:unhideWhenUsed/>
    <w:pPr>
      <w:spacing w:after="0" w:line="240" w:lineRule="auto"/>
    </w:pPr>
    <w:rPr>
      <w:sz w:val="20"/>
    </w:rPr>
  </w:style>
  <w:style w:type="paragraph" w:styleId="899">
    <w:name w:val="toc 1"/>
    <w:basedOn w:val="732"/>
    <w:next w:val="732"/>
    <w:uiPriority w:val="39"/>
    <w:unhideWhenUsed/>
    <w:pPr>
      <w:spacing w:after="57"/>
    </w:pPr>
  </w:style>
  <w:style w:type="paragraph" w:styleId="900">
    <w:name w:val="toc 2"/>
    <w:basedOn w:val="732"/>
    <w:next w:val="732"/>
    <w:uiPriority w:val="39"/>
    <w:unhideWhenUsed/>
    <w:pPr>
      <w:ind w:left="283"/>
      <w:spacing w:after="57"/>
    </w:pPr>
  </w:style>
  <w:style w:type="paragraph" w:styleId="901">
    <w:name w:val="toc 3"/>
    <w:basedOn w:val="732"/>
    <w:next w:val="732"/>
    <w:uiPriority w:val="39"/>
    <w:unhideWhenUsed/>
    <w:pPr>
      <w:ind w:left="567"/>
      <w:spacing w:after="57"/>
    </w:pPr>
  </w:style>
  <w:style w:type="paragraph" w:styleId="902">
    <w:name w:val="toc 4"/>
    <w:basedOn w:val="732"/>
    <w:next w:val="732"/>
    <w:uiPriority w:val="39"/>
    <w:unhideWhenUsed/>
    <w:pPr>
      <w:ind w:left="850"/>
      <w:spacing w:after="57"/>
    </w:pPr>
  </w:style>
  <w:style w:type="paragraph" w:styleId="903">
    <w:name w:val="toc 5"/>
    <w:basedOn w:val="732"/>
    <w:next w:val="732"/>
    <w:uiPriority w:val="39"/>
    <w:unhideWhenUsed/>
    <w:pPr>
      <w:ind w:left="1134"/>
      <w:spacing w:after="57"/>
    </w:pPr>
  </w:style>
  <w:style w:type="paragraph" w:styleId="904">
    <w:name w:val="toc 6"/>
    <w:basedOn w:val="732"/>
    <w:next w:val="732"/>
    <w:uiPriority w:val="39"/>
    <w:unhideWhenUsed/>
    <w:pPr>
      <w:ind w:left="1417"/>
      <w:spacing w:after="57"/>
    </w:pPr>
  </w:style>
  <w:style w:type="paragraph" w:styleId="905">
    <w:name w:val="toc 7"/>
    <w:basedOn w:val="732"/>
    <w:next w:val="732"/>
    <w:uiPriority w:val="39"/>
    <w:unhideWhenUsed/>
    <w:pPr>
      <w:ind w:left="1701"/>
      <w:spacing w:after="57"/>
    </w:pPr>
  </w:style>
  <w:style w:type="paragraph" w:styleId="906">
    <w:name w:val="toc 8"/>
    <w:basedOn w:val="732"/>
    <w:next w:val="732"/>
    <w:uiPriority w:val="39"/>
    <w:unhideWhenUsed/>
    <w:pPr>
      <w:ind w:left="1984"/>
      <w:spacing w:after="57"/>
    </w:pPr>
  </w:style>
  <w:style w:type="paragraph" w:styleId="907">
    <w:name w:val="toc 9"/>
    <w:basedOn w:val="732"/>
    <w:next w:val="732"/>
    <w:uiPriority w:val="39"/>
    <w:unhideWhenUsed/>
    <w:pPr>
      <w:ind w:left="2268"/>
      <w:spacing w:after="57"/>
    </w:pPr>
  </w:style>
  <w:style w:type="paragraph" w:styleId="908">
    <w:name w:val="TOC Heading"/>
    <w:uiPriority w:val="39"/>
    <w:unhideWhenUsed/>
    <w:qFormat/>
    <w:pPr>
      <w:spacing w:after="200" w:line="276" w:lineRule="auto"/>
    </w:pPr>
  </w:style>
  <w:style w:type="paragraph" w:styleId="909">
    <w:name w:val="table of figures"/>
    <w:basedOn w:val="732"/>
    <w:next w:val="732"/>
    <w:uiPriority w:val="99"/>
    <w:unhideWhenUsed/>
    <w:pPr>
      <w:spacing w:after="0"/>
    </w:pPr>
  </w:style>
  <w:style w:type="paragraph" w:styleId="910">
    <w:name w:val="List Paragraph"/>
    <w:basedOn w:val="732"/>
    <w:uiPriority w:val="34"/>
    <w:qFormat/>
    <w:pPr>
      <w:contextualSpacing/>
      <w:ind w:left="720"/>
    </w:pPr>
  </w:style>
  <w:style w:type="paragraph" w:styleId="911">
    <w:name w:val="Balloon Text"/>
    <w:basedOn w:val="732"/>
    <w:link w:val="880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12" w:customStyle="1">
    <w:name w:val="Основной текст2"/>
    <w:basedOn w:val="732"/>
    <w:link w:val="881"/>
    <w:qFormat/>
    <w:pPr>
      <w:jc w:val="both"/>
      <w:spacing w:before="300" w:after="0" w:line="317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paragraph" w:styleId="913">
    <w:name w:val="Normal (Web)"/>
    <w:basedOn w:val="732"/>
    <w:uiPriority w:val="99"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4">
    <w:name w:val="No Spacing"/>
    <w:uiPriority w:val="1"/>
    <w:qFormat/>
  </w:style>
  <w:style w:type="paragraph" w:styleId="915" w:customStyle="1">
    <w:name w:val="ConsPlu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916" w:customStyle="1">
    <w:name w:val="Таблица простая 11"/>
    <w:basedOn w:val="74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17" w:customStyle="1">
    <w:name w:val="Таблица простая 21"/>
    <w:basedOn w:val="74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18" w:customStyle="1">
    <w:name w:val="Таблица простая 31"/>
    <w:basedOn w:val="7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19" w:customStyle="1">
    <w:name w:val="Таблица простая 41"/>
    <w:basedOn w:val="7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20" w:customStyle="1">
    <w:name w:val="Таблица простая 51"/>
    <w:basedOn w:val="7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21" w:customStyle="1">
    <w:name w:val="Таблица-сетка 1 светлая1"/>
    <w:basedOn w:val="74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22" w:customStyle="1">
    <w:name w:val="Таблица-сетка 2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 w:customStyle="1">
    <w:name w:val="Таблица-сетка 3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Таблица-сетка 41"/>
    <w:basedOn w:val="74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25" w:customStyle="1">
    <w:name w:val="Таблица-сетка 5 темная1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26" w:customStyle="1">
    <w:name w:val="Таблица-сетк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27" w:customStyle="1">
    <w:name w:val="Таблица-сетка 7 цветная1"/>
    <w:basedOn w:val="74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Список-таблица 1 светлая1"/>
    <w:basedOn w:val="743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Список-таблица 21"/>
    <w:basedOn w:val="74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30" w:customStyle="1">
    <w:name w:val="Список-таблица 3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 w:customStyle="1">
    <w:name w:val="Список-таблица 4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 w:customStyle="1">
    <w:name w:val="Список-таблица 5 темная1"/>
    <w:basedOn w:val="74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33" w:customStyle="1">
    <w:name w:val="Список-таблиц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34" w:customStyle="1">
    <w:name w:val="Список-таблица 7 цветная1"/>
    <w:basedOn w:val="74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Таблица простая 11"/>
    <w:basedOn w:val="74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36" w:customStyle="1">
    <w:name w:val="Заголовок 2 Знак1"/>
    <w:basedOn w:val="743"/>
    <w:link w:val="73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37" w:customStyle="1">
    <w:name w:val="Таблица простая 31"/>
    <w:basedOn w:val="7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38" w:customStyle="1">
    <w:name w:val="Таблица простая 41"/>
    <w:basedOn w:val="7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39" w:customStyle="1">
    <w:name w:val="Таблица простая 51"/>
    <w:basedOn w:val="7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40" w:customStyle="1">
    <w:name w:val="Таблица-сетка 1 светлая1"/>
    <w:basedOn w:val="74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41" w:customStyle="1">
    <w:name w:val="Таблица-сетка 2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Таблица-сетка 3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Таблица-сетка 41"/>
    <w:basedOn w:val="74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44" w:customStyle="1">
    <w:name w:val="Таблица-сетка 5 темная1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45" w:customStyle="1">
    <w:name w:val="Таблица-сетк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46" w:customStyle="1">
    <w:name w:val="Таблица-сетка 7 цветная1"/>
    <w:basedOn w:val="74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7" w:customStyle="1">
    <w:name w:val="Список-таблица 1 светлая1"/>
    <w:basedOn w:val="743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Список-таблица 21"/>
    <w:basedOn w:val="74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49" w:customStyle="1">
    <w:name w:val="Список-таблица 3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0" w:customStyle="1">
    <w:name w:val="Список-таблица 4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51" w:customStyle="1">
    <w:name w:val="Список-таблица 5 темная1"/>
    <w:basedOn w:val="74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52" w:customStyle="1">
    <w:name w:val="Список-таблиц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53" w:customStyle="1">
    <w:name w:val="Список-таблица 7 цветная1"/>
    <w:basedOn w:val="74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54">
    <w:name w:val="Table Grid"/>
    <w:basedOn w:val="74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55" w:customStyle="1">
    <w:name w:val="Table Grid Light"/>
    <w:basedOn w:val="74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56" w:customStyle="1">
    <w:name w:val="Таблица простая 11"/>
    <w:basedOn w:val="74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57" w:customStyle="1">
    <w:name w:val="Таблица простая 21"/>
    <w:basedOn w:val="74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58" w:customStyle="1">
    <w:name w:val="Таблица простая 31"/>
    <w:basedOn w:val="7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59" w:customStyle="1">
    <w:name w:val="Таблица простая 41"/>
    <w:basedOn w:val="7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60" w:customStyle="1">
    <w:name w:val="Таблица простая 51"/>
    <w:basedOn w:val="743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61" w:customStyle="1">
    <w:name w:val="Таблица-сетка 1 светлая1"/>
    <w:basedOn w:val="74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2" w:customStyle="1">
    <w:name w:val="Grid Table 1 Light - Accent 1"/>
    <w:basedOn w:val="74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3" w:customStyle="1">
    <w:name w:val="Grid Table 1 Light - Accent 2"/>
    <w:basedOn w:val="74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4" w:customStyle="1">
    <w:name w:val="Grid Table 1 Light - Accent 3"/>
    <w:basedOn w:val="74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5" w:customStyle="1">
    <w:name w:val="Grid Table 1 Light - Accent 4"/>
    <w:basedOn w:val="74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6" w:customStyle="1">
    <w:name w:val="Grid Table 1 Light - Accent 5"/>
    <w:basedOn w:val="74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7" w:customStyle="1">
    <w:name w:val="Grid Table 1 Light - Accent 6"/>
    <w:basedOn w:val="74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8" w:customStyle="1">
    <w:name w:val="Таблица-сетка 2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9" w:customStyle="1">
    <w:name w:val="Grid Table 2 - Accent 1"/>
    <w:basedOn w:val="74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0" w:customStyle="1">
    <w:name w:val="Grid Table 2 - Accent 2"/>
    <w:basedOn w:val="74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1" w:customStyle="1">
    <w:name w:val="Grid Table 2 - Accent 3"/>
    <w:basedOn w:val="74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2" w:customStyle="1">
    <w:name w:val="Grid Table 2 - Accent 4"/>
    <w:basedOn w:val="74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3" w:customStyle="1">
    <w:name w:val="Grid Table 2 - Accent 5"/>
    <w:basedOn w:val="74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4" w:customStyle="1">
    <w:name w:val="Grid Table 2 - Accent 6"/>
    <w:basedOn w:val="74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5" w:customStyle="1">
    <w:name w:val="Таблица-сетка 31"/>
    <w:basedOn w:val="74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6" w:customStyle="1">
    <w:name w:val="Grid Table 3 - Accent 1"/>
    <w:basedOn w:val="743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7" w:customStyle="1">
    <w:name w:val="Grid Table 3 - Accent 2"/>
    <w:basedOn w:val="743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 w:customStyle="1">
    <w:name w:val="Grid Table 3 - Accent 3"/>
    <w:basedOn w:val="74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9" w:customStyle="1">
    <w:name w:val="Grid Table 3 - Accent 4"/>
    <w:basedOn w:val="743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Grid Table 3 - Accent 5"/>
    <w:basedOn w:val="743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 w:customStyle="1">
    <w:name w:val="Grid Table 3 - Accent 6"/>
    <w:basedOn w:val="743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Таблица-сетка 41"/>
    <w:basedOn w:val="74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83" w:customStyle="1">
    <w:name w:val="Grid Table 4 - Accent 1"/>
    <w:basedOn w:val="743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984" w:customStyle="1">
    <w:name w:val="Grid Table 4 - Accent 2"/>
    <w:basedOn w:val="743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985" w:customStyle="1">
    <w:name w:val="Grid Table 4 - Accent 3"/>
    <w:basedOn w:val="74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986" w:customStyle="1">
    <w:name w:val="Grid Table 4 - Accent 4"/>
    <w:basedOn w:val="743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987" w:customStyle="1">
    <w:name w:val="Grid Table 4 - Accent 5"/>
    <w:basedOn w:val="743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988" w:customStyle="1">
    <w:name w:val="Grid Table 4 - Accent 6"/>
    <w:basedOn w:val="743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989" w:customStyle="1">
    <w:name w:val="Таблица-сетка 5 темная1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90" w:customStyle="1">
    <w:name w:val="Grid Table 5 Dark- Accent 1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991" w:customStyle="1">
    <w:name w:val="Grid Table 5 Dark - Accent 2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992" w:customStyle="1">
    <w:name w:val="Grid Table 5 Dark - Accent 3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993" w:customStyle="1">
    <w:name w:val="Grid Table 5 Dark- Accent 4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994" w:customStyle="1">
    <w:name w:val="Grid Table 5 Dark - Accent 5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995" w:customStyle="1">
    <w:name w:val="Grid Table 5 Dark - Accent 6"/>
    <w:basedOn w:val="74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996" w:customStyle="1">
    <w:name w:val="Таблица-сетк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97" w:customStyle="1">
    <w:name w:val="Grid Table 6 Colorful - Accent 1"/>
    <w:basedOn w:val="743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98" w:customStyle="1">
    <w:name w:val="Grid Table 6 Colorful - Accent 2"/>
    <w:basedOn w:val="74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99" w:customStyle="1">
    <w:name w:val="Grid Table 6 Colorful - Accent 3"/>
    <w:basedOn w:val="74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00" w:customStyle="1">
    <w:name w:val="Grid Table 6 Colorful - Accent 4"/>
    <w:basedOn w:val="74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01" w:customStyle="1">
    <w:name w:val="Grid Table 6 Colorful - Accent 5"/>
    <w:basedOn w:val="743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02" w:customStyle="1">
    <w:name w:val="Grid Table 6 Colorful - Accent 6"/>
    <w:basedOn w:val="743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03" w:customStyle="1">
    <w:name w:val="Таблица-сетка 7 цветная1"/>
    <w:basedOn w:val="74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4" w:customStyle="1">
    <w:name w:val="Grid Table 7 Colorful - Accent 1"/>
    <w:basedOn w:val="743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5" w:customStyle="1">
    <w:name w:val="Grid Table 7 Colorful - Accent 2"/>
    <w:basedOn w:val="743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6" w:customStyle="1">
    <w:name w:val="Grid Table 7 Colorful - Accent 3"/>
    <w:basedOn w:val="74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7" w:customStyle="1">
    <w:name w:val="Grid Table 7 Colorful - Accent 4"/>
    <w:basedOn w:val="743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8" w:customStyle="1">
    <w:name w:val="Grid Table 7 Colorful - Accent 5"/>
    <w:basedOn w:val="743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09" w:customStyle="1">
    <w:name w:val="Grid Table 7 Colorful - Accent 6"/>
    <w:basedOn w:val="743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10" w:customStyle="1">
    <w:name w:val="Список-таблица 1 светлая1"/>
    <w:basedOn w:val="743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1" w:customStyle="1">
    <w:name w:val="List Table 1 Light - Accent 1"/>
    <w:basedOn w:val="743"/>
    <w:uiPriority w:val="99"/>
    <w:tblPr>
      <w:tblStyleRowBandSize w:val="1"/>
      <w:tblStyleColBandSize w:val="1"/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2" w:customStyle="1">
    <w:name w:val="List Table 1 Light - Accent 2"/>
    <w:basedOn w:val="743"/>
    <w:uiPriority w:val="99"/>
    <w:tblPr>
      <w:tblStyleRowBandSize w:val="1"/>
      <w:tblStyleColBandSize w:val="1"/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3" w:customStyle="1">
    <w:name w:val="List Table 1 Light - Accent 3"/>
    <w:basedOn w:val="743"/>
    <w:uiPriority w:val="99"/>
    <w:tblPr>
      <w:tblStyleRowBandSize w:val="1"/>
      <w:tblStyleColBandSize w:val="1"/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4" w:customStyle="1">
    <w:name w:val="List Table 1 Light - Accent 4"/>
    <w:basedOn w:val="743"/>
    <w:uiPriority w:val="99"/>
    <w:tblPr>
      <w:tblStyleRowBandSize w:val="1"/>
      <w:tblStyleColBandSize w:val="1"/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5" w:customStyle="1">
    <w:name w:val="List Table 1 Light - Accent 5"/>
    <w:basedOn w:val="743"/>
    <w:uiPriority w:val="99"/>
    <w:tblPr>
      <w:tblStyleRowBandSize w:val="1"/>
      <w:tblStyleColBandSize w:val="1"/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6" w:customStyle="1">
    <w:name w:val="List Table 1 Light - Accent 6"/>
    <w:basedOn w:val="743"/>
    <w:uiPriority w:val="99"/>
    <w:tblPr>
      <w:tblStyleRowBandSize w:val="1"/>
      <w:tblStyleColBandSize w:val="1"/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7" w:customStyle="1">
    <w:name w:val="Список-таблица 21"/>
    <w:basedOn w:val="74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018" w:customStyle="1">
    <w:name w:val="List Table 2 - Accent 1"/>
    <w:basedOn w:val="743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1019" w:customStyle="1">
    <w:name w:val="List Table 2 - Accent 2"/>
    <w:basedOn w:val="743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1020" w:customStyle="1">
    <w:name w:val="List Table 2 - Accent 3"/>
    <w:basedOn w:val="74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1021" w:customStyle="1">
    <w:name w:val="List Table 2 - Accent 4"/>
    <w:basedOn w:val="743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1022" w:customStyle="1">
    <w:name w:val="List Table 2 - Accent 5"/>
    <w:basedOn w:val="743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1023" w:customStyle="1">
    <w:name w:val="List Table 2 - Accent 6"/>
    <w:basedOn w:val="743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1024" w:customStyle="1">
    <w:name w:val="Список-таблица 3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5" w:customStyle="1">
    <w:name w:val="List Table 3 - Accent 1"/>
    <w:basedOn w:val="743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6" w:customStyle="1">
    <w:name w:val="List Table 3 - Accent 2"/>
    <w:basedOn w:val="743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7" w:customStyle="1">
    <w:name w:val="List Table 3 - Accent 3"/>
    <w:basedOn w:val="74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8" w:customStyle="1">
    <w:name w:val="List Table 3 - Accent 4"/>
    <w:basedOn w:val="743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29" w:customStyle="1">
    <w:name w:val="List Table 3 - Accent 5"/>
    <w:basedOn w:val="743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0" w:customStyle="1">
    <w:name w:val="List Table 3 - Accent 6"/>
    <w:basedOn w:val="743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1" w:customStyle="1">
    <w:name w:val="Список-таблица 41"/>
    <w:basedOn w:val="74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2" w:customStyle="1">
    <w:name w:val="List Table 4 - Accent 1"/>
    <w:basedOn w:val="743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3" w:customStyle="1">
    <w:name w:val="List Table 4 - Accent 2"/>
    <w:basedOn w:val="743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4" w:customStyle="1">
    <w:name w:val="List Table 4 - Accent 3"/>
    <w:basedOn w:val="74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5" w:customStyle="1">
    <w:name w:val="List Table 4 - Accent 4"/>
    <w:basedOn w:val="743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6" w:customStyle="1">
    <w:name w:val="List Table 4 - Accent 5"/>
    <w:basedOn w:val="743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7" w:customStyle="1">
    <w:name w:val="List Table 4 - Accent 6"/>
    <w:basedOn w:val="743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38" w:customStyle="1">
    <w:name w:val="Список-таблица 5 темная1"/>
    <w:basedOn w:val="74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39" w:customStyle="1">
    <w:name w:val="List Table 5 Dark - Accent 1"/>
    <w:basedOn w:val="743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40" w:customStyle="1">
    <w:name w:val="List Table 5 Dark - Accent 2"/>
    <w:basedOn w:val="743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41" w:customStyle="1">
    <w:name w:val="List Table 5 Dark - Accent 3"/>
    <w:basedOn w:val="74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42" w:customStyle="1">
    <w:name w:val="List Table 5 Dark - Accent 4"/>
    <w:basedOn w:val="743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43" w:customStyle="1">
    <w:name w:val="List Table 5 Dark - Accent 5"/>
    <w:basedOn w:val="743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44" w:customStyle="1">
    <w:name w:val="List Table 5 Dark - Accent 6"/>
    <w:basedOn w:val="743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45" w:customStyle="1">
    <w:name w:val="Список-таблица 6 цветная1"/>
    <w:basedOn w:val="74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46" w:customStyle="1">
    <w:name w:val="List Table 6 Colorful - Accent 1"/>
    <w:basedOn w:val="743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47" w:customStyle="1">
    <w:name w:val="List Table 6 Colorful - Accent 2"/>
    <w:basedOn w:val="743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1048" w:customStyle="1">
    <w:name w:val="List Table 6 Colorful - Accent 3"/>
    <w:basedOn w:val="74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1049" w:customStyle="1">
    <w:name w:val="List Table 6 Colorful - Accent 4"/>
    <w:basedOn w:val="743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1050" w:customStyle="1">
    <w:name w:val="List Table 6 Colorful - Accent 5"/>
    <w:basedOn w:val="743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1051" w:customStyle="1">
    <w:name w:val="List Table 6 Colorful - Accent 6"/>
    <w:basedOn w:val="743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1052" w:customStyle="1">
    <w:name w:val="Список-таблица 7 цветная1"/>
    <w:basedOn w:val="74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3" w:customStyle="1">
    <w:name w:val="List Table 7 Colorful - Accent 1"/>
    <w:basedOn w:val="743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4" w:customStyle="1">
    <w:name w:val="List Table 7 Colorful - Accent 2"/>
    <w:basedOn w:val="743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5" w:customStyle="1">
    <w:name w:val="List Table 7 Colorful - Accent 3"/>
    <w:basedOn w:val="74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6" w:customStyle="1">
    <w:name w:val="List Table 7 Colorful - Accent 4"/>
    <w:basedOn w:val="743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7" w:customStyle="1">
    <w:name w:val="List Table 7 Colorful - Accent 5"/>
    <w:basedOn w:val="743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8" w:customStyle="1">
    <w:name w:val="List Table 7 Colorful - Accent 6"/>
    <w:basedOn w:val="743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59" w:customStyle="1">
    <w:name w:val="Lined - Accent"/>
    <w:basedOn w:val="743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60" w:customStyle="1">
    <w:name w:val="Lined - Accent 1"/>
    <w:basedOn w:val="743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61" w:customStyle="1">
    <w:name w:val="Lined - Accent 2"/>
    <w:basedOn w:val="743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62" w:customStyle="1">
    <w:name w:val="Lined - Accent 3"/>
    <w:basedOn w:val="743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63" w:customStyle="1">
    <w:name w:val="Lined - Accent 4"/>
    <w:basedOn w:val="743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64" w:customStyle="1">
    <w:name w:val="Lined - Accent 5"/>
    <w:basedOn w:val="743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65" w:customStyle="1">
    <w:name w:val="Lined - Accent 6"/>
    <w:basedOn w:val="743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66" w:customStyle="1">
    <w:name w:val="Bordered &amp; Lined - Accent"/>
    <w:basedOn w:val="74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67" w:customStyle="1">
    <w:name w:val="Bordered &amp; Lined - Accent 1"/>
    <w:basedOn w:val="74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68" w:customStyle="1">
    <w:name w:val="Bordered &amp; Lined - Accent 2"/>
    <w:basedOn w:val="74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69" w:customStyle="1">
    <w:name w:val="Bordered &amp; Lined - Accent 3"/>
    <w:basedOn w:val="74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70" w:customStyle="1">
    <w:name w:val="Bordered &amp; Lined - Accent 4"/>
    <w:basedOn w:val="74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71" w:customStyle="1">
    <w:name w:val="Bordered &amp; Lined - Accent 5"/>
    <w:basedOn w:val="74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72" w:customStyle="1">
    <w:name w:val="Bordered &amp; Lined - Accent 6"/>
    <w:basedOn w:val="743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73" w:customStyle="1">
    <w:name w:val="Bordered"/>
    <w:basedOn w:val="74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74" w:customStyle="1">
    <w:name w:val="Bordered - Accent 1"/>
    <w:basedOn w:val="743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75" w:customStyle="1">
    <w:name w:val="Bordered - Accent 2"/>
    <w:basedOn w:val="743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1076" w:customStyle="1">
    <w:name w:val="Bordered - Accent 3"/>
    <w:basedOn w:val="74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1077" w:customStyle="1">
    <w:name w:val="Bordered - Accent 4"/>
    <w:basedOn w:val="743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1078" w:customStyle="1">
    <w:name w:val="Bordered - Accent 5"/>
    <w:basedOn w:val="743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1079" w:customStyle="1">
    <w:name w:val="Bordered - Accent 6"/>
    <w:basedOn w:val="743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AE1BF-076A-4CE4-A583-DDA91C347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Ражина</dc:creator>
  <dc:description/>
  <dc:language>ru-RU</dc:language>
  <cp:lastModifiedBy>konovalenkoan</cp:lastModifiedBy>
  <cp:revision>334</cp:revision>
  <dcterms:created xsi:type="dcterms:W3CDTF">2022-09-15T06:40:00Z</dcterms:created>
  <dcterms:modified xsi:type="dcterms:W3CDTF">2026-03-23T10:16:29Z</dcterms:modified>
</cp:coreProperties>
</file>