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567"/>
        <w:spacing w:after="0" w:line="240" w:lineRule="atLeast"/>
        <w:rPr>
          <w:rFonts w:ascii="Times New Roman" w:hAnsi="Times New Roman" w:cs="Times New Roman"/>
          <w:spacing w:val="-5"/>
          <w:sz w:val="28"/>
          <w:szCs w:val="28"/>
          <w:highlight w:val="white"/>
        </w:rPr>
      </w:pPr>
      <w:r>
        <w:rPr>
          <w:rFonts w:ascii="Times New Roman" w:hAnsi="Times New Roman" w:cs="Times New Roman"/>
          <w:spacing w:val="-5"/>
          <w:sz w:val="28"/>
          <w:szCs w:val="28"/>
          <w:highlight w:val="white"/>
          <w:lang w:val="ru-RU"/>
        </w:rPr>
        <w:t xml:space="preserve">Об итогах работы ТФОМС Липецкой области за 1 квартал 2023 года.</w:t>
      </w:r>
      <w:r>
        <w:rPr>
          <w:highlight w:val="white"/>
        </w:rPr>
      </w:r>
      <w:r>
        <w:rPr>
          <w:rFonts w:ascii="Times New Roman" w:hAnsi="Times New Roman" w:cs="Times New Roman"/>
          <w:spacing w:val="-5"/>
          <w:sz w:val="28"/>
          <w:szCs w:val="28"/>
          <w:highlight w:val="white"/>
        </w:rPr>
      </w:r>
    </w:p>
    <w:p>
      <w:pPr>
        <w:ind w:firstLine="567"/>
        <w:spacing w:after="0" w:line="240" w:lineRule="atLeast"/>
        <w:rPr>
          <w:rFonts w:ascii="Times New Roman" w:hAnsi="Times New Roman" w:cs="Times New Roman"/>
          <w:spacing w:val="-5"/>
          <w:sz w:val="28"/>
          <w:szCs w:val="28"/>
          <w:highlight w:val="white"/>
        </w:rPr>
      </w:pPr>
      <w:r>
        <w:rPr>
          <w:rFonts w:ascii="Times New Roman" w:hAnsi="Times New Roman" w:cs="Times New Roman"/>
          <w:spacing w:val="-5"/>
          <w:sz w:val="28"/>
          <w:szCs w:val="28"/>
          <w:highlight w:val="white"/>
          <w:lang w:val="ru-RU"/>
        </w:rPr>
      </w:r>
      <w:r>
        <w:rPr>
          <w:highlight w:val="white"/>
        </w:rPr>
      </w:r>
      <w:r>
        <w:rPr>
          <w:rFonts w:ascii="Times New Roman" w:hAnsi="Times New Roman" w:cs="Times New Roman"/>
          <w:spacing w:val="-5"/>
          <w:sz w:val="28"/>
          <w:szCs w:val="28"/>
          <w:highlight w:val="white"/>
        </w:rPr>
      </w:r>
    </w:p>
    <w:p>
      <w:pPr>
        <w:pStyle w:val="865"/>
        <w:ind w:firstLine="720"/>
        <w:jc w:val="both"/>
        <w:spacing w:after="0" w:line="283" w:lineRule="atLeast"/>
        <w:tabs>
          <w:tab w:val="left" w:pos="720" w:leader="none"/>
        </w:tabs>
        <w:rPr>
          <w:highlight w:val="none"/>
        </w:rPr>
      </w:pPr>
      <w:r>
        <w:rPr>
          <w:sz w:val="28"/>
          <w:szCs w:val="28"/>
          <w:highlight w:val="white"/>
        </w:rPr>
        <w:t xml:space="preserve">За </w:t>
      </w:r>
      <w:r>
        <w:rPr>
          <w:spacing w:val="-5"/>
          <w:sz w:val="28"/>
          <w:szCs w:val="28"/>
          <w:highlight w:val="white"/>
        </w:rPr>
        <w:t xml:space="preserve">период январь-</w:t>
      </w:r>
      <w:r>
        <w:rPr>
          <w:spacing w:val="-5"/>
          <w:sz w:val="28"/>
          <w:szCs w:val="28"/>
          <w:highlight w:val="white"/>
        </w:rPr>
        <w:t xml:space="preserve">март</w:t>
      </w:r>
      <w:r>
        <w:rPr>
          <w:spacing w:val="-5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202</w:t>
      </w:r>
      <w:r>
        <w:rPr>
          <w:sz w:val="28"/>
          <w:szCs w:val="28"/>
          <w:highlight w:val="white"/>
        </w:rPr>
        <w:t xml:space="preserve">3</w:t>
      </w:r>
      <w:r>
        <w:rPr>
          <w:sz w:val="28"/>
          <w:szCs w:val="28"/>
          <w:highlight w:val="white"/>
        </w:rPr>
        <w:t xml:space="preserve"> года доходы бюджета территориального фонда ОМС сложились в размере </w:t>
      </w:r>
      <w:r>
        <w:rPr>
          <w:sz w:val="28"/>
          <w:szCs w:val="28"/>
          <w:highlight w:val="white"/>
        </w:rPr>
        <w:t xml:space="preserve">4 522,4</w:t>
      </w:r>
      <w:r>
        <w:rPr>
          <w:sz w:val="28"/>
          <w:szCs w:val="28"/>
          <w:highlight w:val="white"/>
        </w:rPr>
        <w:t xml:space="preserve"> млн. рублей, что составляет </w:t>
      </w:r>
      <w:r>
        <w:rPr>
          <w:sz w:val="28"/>
          <w:szCs w:val="28"/>
          <w:highlight w:val="white"/>
        </w:rPr>
        <w:t xml:space="preserve">98</w:t>
      </w:r>
      <w:r>
        <w:rPr>
          <w:sz w:val="28"/>
          <w:szCs w:val="28"/>
          <w:highlight w:val="white"/>
        </w:rPr>
        <w:t xml:space="preserve">% от утвержденных законом бюджетных назначений и </w:t>
      </w:r>
      <w:r>
        <w:rPr>
          <w:sz w:val="28"/>
          <w:szCs w:val="28"/>
          <w:highlight w:val="white"/>
        </w:rPr>
        <w:t xml:space="preserve">76,6</w:t>
      </w:r>
      <w:r>
        <w:rPr>
          <w:sz w:val="28"/>
          <w:szCs w:val="28"/>
          <w:highlight w:val="white"/>
        </w:rPr>
        <w:t xml:space="preserve">% к доходам аналогичного периода 202</w:t>
      </w:r>
      <w:r>
        <w:rPr>
          <w:sz w:val="28"/>
          <w:szCs w:val="28"/>
          <w:highlight w:val="white"/>
        </w:rPr>
        <w:t xml:space="preserve">2</w:t>
      </w:r>
      <w:r>
        <w:rPr>
          <w:sz w:val="28"/>
          <w:szCs w:val="28"/>
          <w:highlight w:val="white"/>
        </w:rPr>
        <w:t xml:space="preserve"> года (</w:t>
      </w:r>
      <w:r>
        <w:rPr>
          <w:sz w:val="28"/>
          <w:szCs w:val="28"/>
          <w:highlight w:val="white"/>
        </w:rPr>
        <w:t xml:space="preserve">5 907,6</w:t>
      </w:r>
      <w:r>
        <w:rPr>
          <w:sz w:val="28"/>
          <w:szCs w:val="28"/>
          <w:highlight w:val="white"/>
        </w:rPr>
        <w:t xml:space="preserve"> млн. рублей).</w:t>
      </w:r>
      <w:r>
        <w:rPr>
          <w:highlight w:val="white"/>
        </w:rPr>
      </w:r>
      <w:r>
        <w:rPr>
          <w:highlight w:val="none"/>
        </w:rPr>
      </w:r>
    </w:p>
    <w:p>
      <w:pPr>
        <w:pStyle w:val="865"/>
        <w:ind w:firstLine="720"/>
        <w:jc w:val="both"/>
        <w:spacing w:after="0" w:line="283" w:lineRule="atLeast"/>
        <w:tabs>
          <w:tab w:val="left" w:pos="720" w:leader="none"/>
        </w:tabs>
        <w:rPr>
          <w:highlight w:val="white"/>
        </w:rPr>
      </w:pPr>
      <w:r>
        <w:rPr>
          <w:spacing w:val="-5"/>
          <w:sz w:val="28"/>
          <w:szCs w:val="28"/>
          <w:highlight w:val="white"/>
        </w:rPr>
        <w:t xml:space="preserve">Снижение размера доходной части бюджета в 1 квартале 2023 года обусловлено поступлением в прошлом году финансовых средств </w:t>
      </w:r>
      <w:r>
        <w:rPr>
          <w:spacing w:val="-5"/>
          <w:sz w:val="28"/>
          <w:szCs w:val="28"/>
          <w:highlight w:val="white"/>
        </w:rPr>
        <w:t xml:space="preserve">на дополнительное финансовое обеспечение оказания медицинской помощи с заболеванием и (или) подозрением на заболевание новой </w:t>
      </w:r>
      <w:r>
        <w:rPr>
          <w:spacing w:val="-5"/>
          <w:sz w:val="28"/>
          <w:szCs w:val="28"/>
          <w:highlight w:val="white"/>
        </w:rPr>
        <w:t xml:space="preserve">коронавирусной</w:t>
      </w:r>
      <w:r>
        <w:rPr>
          <w:spacing w:val="-5"/>
          <w:sz w:val="28"/>
          <w:szCs w:val="28"/>
          <w:highlight w:val="white"/>
        </w:rPr>
        <w:t xml:space="preserve"> инфекцией в первичном звене.</w:t>
      </w:r>
      <w:r>
        <w:rPr>
          <w:spacing w:val="-5"/>
          <w:sz w:val="28"/>
          <w:szCs w:val="28"/>
          <w:highlight w:val="white"/>
        </w:rPr>
        <w:t xml:space="preserve"> Кроме того, в </w:t>
      </w:r>
      <w:r>
        <w:rPr>
          <w:spacing w:val="-5"/>
          <w:sz w:val="28"/>
          <w:szCs w:val="28"/>
          <w:highlight w:val="white"/>
        </w:rPr>
        <w:t xml:space="preserve">марте месяце 2022 года Федеральным фондом ОМС были проведены мероприятия по опережающему авансированию в целях  закупки медицинскими организациями медикаментов и медицинского оборудования в условиях </w:t>
      </w:r>
      <w:r>
        <w:rPr>
          <w:spacing w:val="-5"/>
          <w:sz w:val="28"/>
          <w:szCs w:val="28"/>
          <w:highlight w:val="white"/>
        </w:rPr>
        <w:t xml:space="preserve">санкционных</w:t>
      </w:r>
      <w:r>
        <w:rPr>
          <w:spacing w:val="-5"/>
          <w:sz w:val="28"/>
          <w:szCs w:val="28"/>
          <w:highlight w:val="white"/>
        </w:rPr>
        <w:t xml:space="preserve"> </w:t>
      </w:r>
      <w:r>
        <w:rPr>
          <w:spacing w:val="-5"/>
          <w:sz w:val="28"/>
          <w:szCs w:val="28"/>
          <w:highlight w:val="white"/>
        </w:rPr>
        <w:t xml:space="preserve">ограничительных мер по импорту товаров (услуг) – субвенция </w:t>
      </w:r>
      <w:r>
        <w:rPr>
          <w:spacing w:val="-5"/>
          <w:sz w:val="28"/>
          <w:szCs w:val="28"/>
          <w:highlight w:val="white"/>
        </w:rPr>
        <w:t xml:space="preserve">из </w:t>
      </w:r>
      <w:r>
        <w:rPr>
          <w:spacing w:val="-5"/>
          <w:sz w:val="28"/>
          <w:szCs w:val="28"/>
          <w:highlight w:val="white"/>
        </w:rPr>
        <w:t xml:space="preserve">ФФОМС </w:t>
      </w:r>
      <w:r>
        <w:rPr>
          <w:spacing w:val="-5"/>
          <w:sz w:val="28"/>
          <w:szCs w:val="28"/>
          <w:highlight w:val="white"/>
        </w:rPr>
        <w:t xml:space="preserve">поступила в увеличенном размере </w:t>
      </w:r>
      <w:r>
        <w:rPr>
          <w:spacing w:val="-5"/>
          <w:sz w:val="28"/>
          <w:szCs w:val="28"/>
          <w:highlight w:val="white"/>
        </w:rPr>
        <w:t xml:space="preserve">3030,6 </w:t>
      </w:r>
      <w:r>
        <w:rPr>
          <w:spacing w:val="-5"/>
          <w:sz w:val="28"/>
          <w:szCs w:val="28"/>
          <w:highlight w:val="white"/>
        </w:rPr>
        <w:t xml:space="preserve">млн</w:t>
      </w:r>
      <w:r>
        <w:rPr>
          <w:spacing w:val="-5"/>
          <w:sz w:val="28"/>
          <w:szCs w:val="28"/>
          <w:highlight w:val="white"/>
        </w:rPr>
        <w:t xml:space="preserve">. р</w:t>
      </w:r>
      <w:r>
        <w:rPr>
          <w:spacing w:val="-5"/>
          <w:sz w:val="28"/>
          <w:szCs w:val="28"/>
          <w:highlight w:val="white"/>
        </w:rPr>
        <w:t xml:space="preserve">ублей</w:t>
      </w:r>
      <w:r>
        <w:rPr>
          <w:spacing w:val="-5"/>
          <w:sz w:val="28"/>
          <w:szCs w:val="28"/>
          <w:highlight w:val="white"/>
        </w:rPr>
        <w:t xml:space="preserve">.</w:t>
      </w:r>
      <w:r>
        <w:rPr>
          <w:spacing w:val="-5"/>
          <w:sz w:val="28"/>
          <w:szCs w:val="28"/>
          <w:highlight w:val="white"/>
        </w:rPr>
        <w:t xml:space="preserve"> вместо утвержденного 1/12 годового объема в сумме </w:t>
      </w:r>
      <w:r>
        <w:rPr>
          <w:spacing w:val="-5"/>
          <w:sz w:val="28"/>
          <w:szCs w:val="28"/>
          <w:highlight w:val="white"/>
        </w:rPr>
        <w:t xml:space="preserve">1357,4 </w:t>
      </w:r>
      <w:r>
        <w:rPr>
          <w:spacing w:val="-5"/>
          <w:sz w:val="28"/>
          <w:szCs w:val="28"/>
          <w:highlight w:val="white"/>
        </w:rPr>
        <w:t xml:space="preserve">млн. рублей</w:t>
      </w:r>
      <w:r>
        <w:rPr>
          <w:spacing w:val="-5"/>
          <w:sz w:val="28"/>
          <w:szCs w:val="28"/>
          <w:highlight w:val="white"/>
        </w:rPr>
        <w:t xml:space="preserve">.</w:t>
      </w:r>
      <w:bookmarkStart w:id="0" w:name="undefined"/>
      <w:r>
        <w:rPr>
          <w:spacing w:val="-5"/>
          <w:sz w:val="28"/>
          <w:szCs w:val="28"/>
          <w:highlight w:val="white"/>
        </w:rPr>
      </w:r>
      <w:bookmarkEnd w:id="0"/>
      <w:r>
        <w:rPr>
          <w:spacing w:val="-5"/>
          <w:sz w:val="28"/>
          <w:szCs w:val="28"/>
          <w:highlight w:val="white"/>
          <w14:ligatures w14:val="none"/>
        </w:rPr>
      </w:r>
      <w:r>
        <w:rPr>
          <w:highlight w:val="white"/>
        </w:rPr>
      </w:r>
    </w:p>
    <w:p>
      <w:pPr>
        <w:pStyle w:val="865"/>
        <w:ind w:firstLine="720"/>
        <w:jc w:val="both"/>
        <w:spacing w:after="0" w:line="283" w:lineRule="atLeast"/>
        <w:tabs>
          <w:tab w:val="left" w:pos="720" w:leader="none"/>
        </w:tabs>
        <w:rPr>
          <w:highlight w:val="white"/>
        </w:rPr>
      </w:pPr>
      <w:r>
        <w:rPr>
          <w:sz w:val="28"/>
          <w:szCs w:val="28"/>
          <w:highlight w:val="white"/>
        </w:rPr>
        <w:t xml:space="preserve">В бюджет территориального фонда обязательного медицинского страхования Липецкой области за этот период поступило сре</w:t>
      </w:r>
      <w:r>
        <w:rPr>
          <w:sz w:val="28"/>
          <w:szCs w:val="28"/>
          <w:highlight w:val="white"/>
        </w:rPr>
        <w:t xml:space="preserve">дств в в</w:t>
      </w:r>
      <w:r>
        <w:rPr>
          <w:sz w:val="28"/>
          <w:szCs w:val="28"/>
          <w:highlight w:val="white"/>
        </w:rPr>
        <w:t xml:space="preserve">иде:</w:t>
      </w:r>
      <w:r>
        <w:rPr>
          <w:highlight w:val="white"/>
        </w:rPr>
      </w:r>
      <w:r>
        <w:rPr>
          <w:highlight w:val="white"/>
        </w:rPr>
      </w:r>
    </w:p>
    <w:p>
      <w:pPr>
        <w:pStyle w:val="865"/>
        <w:ind w:firstLine="720"/>
        <w:jc w:val="both"/>
        <w:spacing w:after="0" w:line="283" w:lineRule="atLeast"/>
        <w:tabs>
          <w:tab w:val="left" w:pos="720" w:leader="none"/>
        </w:tabs>
        <w:rPr>
          <w:highlight w:val="white"/>
        </w:rPr>
      </w:pPr>
      <w:r>
        <w:rPr>
          <w:sz w:val="28"/>
          <w:szCs w:val="28"/>
          <w:highlight w:val="white"/>
        </w:rPr>
        <w:t xml:space="preserve">- субвенции из Федерального фонда обязательного медицинского страхования на финансовое обеспечение организации обязательного медицинского страхования в сумме </w:t>
      </w:r>
      <w:r>
        <w:rPr>
          <w:sz w:val="28"/>
          <w:szCs w:val="28"/>
          <w:highlight w:val="white"/>
        </w:rPr>
        <w:t xml:space="preserve">4 474,0 </w:t>
      </w:r>
      <w:r>
        <w:rPr>
          <w:sz w:val="28"/>
          <w:szCs w:val="28"/>
          <w:highlight w:val="white"/>
        </w:rPr>
        <w:t xml:space="preserve">млн. рублей;</w:t>
      </w:r>
      <w:r>
        <w:rPr>
          <w:sz w:val="28"/>
          <w:szCs w:val="28"/>
          <w:highlight w:val="white"/>
        </w:rPr>
        <w:t xml:space="preserve"> </w:t>
      </w:r>
      <w:r>
        <w:rPr>
          <w:highlight w:val="white"/>
        </w:rPr>
      </w:r>
      <w:r>
        <w:rPr>
          <w:highlight w:val="white"/>
        </w:rPr>
      </w:r>
    </w:p>
    <w:p>
      <w:pPr>
        <w:pStyle w:val="865"/>
        <w:ind w:firstLine="720"/>
        <w:jc w:val="both"/>
        <w:spacing w:after="0" w:line="283" w:lineRule="atLeast"/>
        <w:tabs>
          <w:tab w:val="left" w:pos="720" w:leader="none"/>
        </w:tabs>
        <w:rPr>
          <w:highlight w:val="white"/>
        </w:rPr>
      </w:pPr>
      <w:r>
        <w:rPr>
          <w:sz w:val="28"/>
          <w:szCs w:val="28"/>
          <w:highlight w:val="white"/>
        </w:rPr>
        <w:t xml:space="preserve">- межбюджетных трансфертов, полученных из областного бюджета на финансовое обеспечение дополнительных видов и условий оказания медицинской помощи, не установленных базовой программой обязательного медицинского страхования, в размере </w:t>
      </w:r>
      <w:r>
        <w:rPr>
          <w:sz w:val="28"/>
          <w:szCs w:val="28"/>
          <w:highlight w:val="white"/>
        </w:rPr>
        <w:t xml:space="preserve">26,6</w:t>
      </w:r>
      <w:r>
        <w:rPr>
          <w:sz w:val="28"/>
          <w:szCs w:val="28"/>
          <w:highlight w:val="white"/>
        </w:rPr>
        <w:t xml:space="preserve"> млн. рублей.</w:t>
      </w:r>
      <w:r>
        <w:rPr>
          <w:highlight w:val="white"/>
        </w:rPr>
      </w:r>
      <w:r>
        <w:rPr>
          <w:highlight w:val="white"/>
        </w:rPr>
      </w:r>
    </w:p>
    <w:p>
      <w:pPr>
        <w:ind w:firstLine="708"/>
        <w:jc w:val="both"/>
        <w:spacing w:after="0" w:line="283" w:lineRule="atLeast"/>
        <w:rPr>
          <w:highlight w:val="white"/>
        </w:rPr>
      </w:pP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В рамках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 выполнени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я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 территориальной программы ОМС за 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1 квартал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 202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3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 года 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принято на оплату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медицинской помощи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 в размере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4 532,1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 млн. рублей, что составляет 1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20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,0% к аналогичному показателю прошлого года,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 (3 778,3 млн. рублей)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 в том числе:</w:t>
      </w:r>
      <w:r>
        <w:rPr>
          <w:highlight w:val="white"/>
        </w:rPr>
      </w:r>
      <w:r>
        <w:rPr>
          <w:highlight w:val="white"/>
        </w:rPr>
      </w:r>
    </w:p>
    <w:p>
      <w:pPr>
        <w:ind w:firstLine="708"/>
        <w:jc w:val="both"/>
        <w:spacing w:after="0" w:line="283" w:lineRule="atLeast"/>
        <w:rPr>
          <w:highlight w:val="white"/>
        </w:rPr>
      </w:pP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- стоимость 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медицинской помощи, оказанной в амбулаторных условиях утверждена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 в сумме 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1 719,8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 млн. рублей, фактическое выполнение составило – 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1 689,9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 млн. рублей или 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98,3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% от утвержденной стоимости;</w:t>
      </w:r>
      <w:r>
        <w:rPr>
          <w:highlight w:val="white"/>
        </w:rPr>
      </w:r>
      <w:r>
        <w:rPr>
          <w:highlight w:val="white"/>
        </w:rPr>
      </w:r>
    </w:p>
    <w:p>
      <w:pPr>
        <w:ind w:firstLine="708"/>
        <w:jc w:val="both"/>
        <w:spacing w:after="0" w:line="283" w:lineRule="atLeast"/>
        <w:rPr>
          <w:highlight w:val="white"/>
        </w:rPr>
      </w:pP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- стоимость стационарной медицинской помощи утверждена в сумме 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1 931,6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 млн. рублей, фактическое выполнение составило 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2 074,4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 млн. рублей или 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107,4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% от утвержденной;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 </w:t>
      </w:r>
      <w:r>
        <w:rPr>
          <w:highlight w:val="white"/>
        </w:rPr>
      </w:r>
      <w:r>
        <w:rPr>
          <w:highlight w:val="white"/>
        </w:rPr>
      </w:r>
    </w:p>
    <w:p>
      <w:pPr>
        <w:ind w:firstLine="708"/>
        <w:jc w:val="both"/>
        <w:spacing w:after="0" w:line="283" w:lineRule="atLeast"/>
        <w:rPr>
          <w:highlight w:val="white"/>
        </w:rPr>
      </w:pP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- стоимость 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медицинской помощи, оказанной в условиях дневного стационара утверждена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 в сумме 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498,2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 млн. рублей, фактически выполнено – 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491,8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 млн. рублей или 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98,7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% от утвержденной стоимости;</w:t>
      </w:r>
      <w:r>
        <w:rPr>
          <w:highlight w:val="white"/>
        </w:rPr>
      </w:r>
      <w:r>
        <w:rPr>
          <w:highlight w:val="white"/>
        </w:rPr>
      </w:r>
    </w:p>
    <w:p>
      <w:pPr>
        <w:ind w:firstLine="708"/>
        <w:jc w:val="both"/>
        <w:spacing w:after="0" w:line="283" w:lineRule="atLeast"/>
        <w:rPr>
          <w:highlight w:val="white"/>
        </w:rPr>
      </w:pP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- стоимость скорой медицинской помощи утверждена в сумме 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280,5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млн. рублей, фактически выполнено – 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276,0 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млн. рублей или 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98,4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% от утвержденного показателя;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 </w:t>
      </w:r>
      <w:r>
        <w:rPr>
          <w:highlight w:val="white"/>
        </w:rPr>
      </w:r>
      <w:r>
        <w:rPr>
          <w:highlight w:val="white"/>
        </w:rPr>
      </w:r>
    </w:p>
    <w:p>
      <w:pPr>
        <w:ind w:firstLine="708"/>
        <w:jc w:val="both"/>
        <w:spacing w:after="0" w:line="283" w:lineRule="atLeast"/>
        <w:rPr>
          <w:highlight w:val="white"/>
        </w:rPr>
      </w:pP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Объемы медицинской помощи, установленные Комиссией по разработке территориальной программы ОМС, выполнены:</w:t>
      </w:r>
      <w:r>
        <w:rPr>
          <w:highlight w:val="white"/>
        </w:rPr>
      </w:r>
      <w:r>
        <w:rPr>
          <w:highlight w:val="white"/>
        </w:rPr>
      </w:r>
    </w:p>
    <w:p>
      <w:pPr>
        <w:ind w:firstLine="708"/>
        <w:jc w:val="both"/>
        <w:spacing w:after="0" w:line="283" w:lineRule="atLeast"/>
        <w:rPr>
          <w:highlight w:val="white"/>
        </w:rPr>
      </w:pP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- по медицинской помощи, оказанной 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в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амбулаторных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 условия – на 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102,1 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%, или на 108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% к уровню прошлого  года (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2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478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 93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6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 посещений против 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2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296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325 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посещений 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за 1 квартал 2022 года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);</w:t>
      </w:r>
      <w:r>
        <w:rPr>
          <w:highlight w:val="white"/>
        </w:rPr>
      </w:r>
      <w:r>
        <w:rPr>
          <w:highlight w:val="white"/>
        </w:rPr>
      </w:r>
    </w:p>
    <w:p>
      <w:pPr>
        <w:ind w:firstLine="708"/>
        <w:jc w:val="both"/>
        <w:spacing w:after="0" w:line="283" w:lineRule="atLeast"/>
        <w:rPr>
          <w:highlight w:val="white"/>
        </w:rPr>
      </w:pP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- по стационарной медицинской помощи – на 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112,6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%, или на 1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26,6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% к уровню прошлого года (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54 273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 случаев против 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42 859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 случаев 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за 1 квартал 2022 года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);</w:t>
      </w:r>
      <w:r>
        <w:rPr>
          <w:highlight w:val="white"/>
        </w:rPr>
      </w:r>
      <w:r>
        <w:rPr>
          <w:highlight w:val="white"/>
        </w:rPr>
      </w:r>
    </w:p>
    <w:p>
      <w:pPr>
        <w:ind w:firstLine="708"/>
        <w:jc w:val="both"/>
        <w:spacing w:after="0" w:line="283" w:lineRule="atLeast"/>
        <w:rPr>
          <w:highlight w:val="white"/>
        </w:rPr>
      </w:pP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- по медицинской помощи, оказанной в условиях дневного стационара всех типов - на 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93,2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%, или на 1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30,3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% к уровню прошлого года (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18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576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случаев против 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14 252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 случаев 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за 1 квартал 2022 года)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;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 </w:t>
      </w:r>
      <w:r>
        <w:rPr>
          <w:highlight w:val="white"/>
        </w:rPr>
      </w:r>
      <w:r>
        <w:rPr>
          <w:highlight w:val="white"/>
        </w:rPr>
      </w:r>
    </w:p>
    <w:p>
      <w:pPr>
        <w:ind w:firstLine="708"/>
        <w:jc w:val="both"/>
        <w:spacing w:after="0" w:line="283" w:lineRule="atLeast"/>
        <w:rPr>
          <w:highlight w:val="white"/>
        </w:rPr>
      </w:pP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- по скорой медицинской помощи – на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 90,1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%, или на 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93,2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% к уровню аналогичного показателя прошлого года (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76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835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вызовов 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против 82 437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вызовов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 за 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1 квартал 2022 года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). </w:t>
      </w:r>
      <w:r>
        <w:rPr>
          <w:highlight w:val="white"/>
        </w:rPr>
      </w:r>
      <w:r>
        <w:rPr>
          <w:highlight w:val="white"/>
        </w:rPr>
      </w:r>
    </w:p>
    <w:p>
      <w:pPr>
        <w:ind w:firstLine="708"/>
        <w:jc w:val="both"/>
        <w:spacing w:after="0" w:line="283" w:lineRule="atLeast"/>
        <w:rPr>
          <w:rFonts w:ascii="Times New Roman" w:hAnsi="Times New Roman" w:eastAsia="Times New Roman" w:cs="Times New Roman"/>
          <w:highlight w:val="white"/>
        </w:rPr>
      </w:pP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Среднедушевой норматив финансирования территориальной программы ОМС 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за январь-март 2023 года 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сложился в размере 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4 007,3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 рублей на 1 застрахованного жителя области, что составляет 10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2,3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% от утвержденного Программой государственных гарантий показателя (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3 917,1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 рублей)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и на 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21,9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% выше прошлогоднего показателя (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3 287,7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 рублей).</w:t>
      </w:r>
      <w:r>
        <w:rPr>
          <w:highlight w:val="white"/>
        </w:rPr>
      </w:r>
      <w:r>
        <w:rPr>
          <w:rFonts w:ascii="Times New Roman" w:hAnsi="Times New Roman" w:eastAsia="Times New Roman" w:cs="Times New Roman"/>
          <w:highlight w:val="white"/>
        </w:rPr>
      </w:r>
    </w:p>
    <w:p>
      <w:pPr>
        <w:ind w:firstLine="708"/>
        <w:jc w:val="both"/>
        <w:spacing w:after="0" w:afterAutospacing="0" w:line="283" w:lineRule="atLeast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/>
        </w:rPr>
      </w:r>
      <w:r>
        <w:rPr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pStyle w:val="873"/>
        <w:ind w:firstLine="709"/>
        <w:jc w:val="both"/>
        <w:spacing w:line="283" w:lineRule="atLeast"/>
        <w:rPr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Стоимость специализированной медицинской помощи, оказанно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й пациентам со злокачественными новообразованиями (ЗНО) в 1 квартале 2023 года составила 598,1 млн. рублей (125% от запланированной суммы – 478,2 млн. рублей), в том числе в стационарных условиях – 339,1 млн. рублей, дневном стационаре – 259,0 млн. рублей.</w:t>
      </w:r>
      <w:r>
        <w:rPr>
          <w:highlight w:val="white"/>
        </w:rPr>
      </w:r>
      <w:r>
        <w:rPr>
          <w:highlight w:val="white"/>
        </w:rPr>
      </w:r>
    </w:p>
    <w:p>
      <w:pPr>
        <w:pStyle w:val="873"/>
        <w:ind w:firstLine="709"/>
        <w:jc w:val="both"/>
        <w:spacing w:line="283" w:lineRule="atLeast"/>
        <w:rPr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Средняя стоимость 1 случа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я специализированного лечения пациентов с ЗНО, застрахованных и пролеченных на территории Липецкой области за отчетный период составила в целом 66,1 тыс. рублей, в стационарных условиях – 61,8 тыс. рублей, в условиях дневного стационара - 73,6 тыс. рублей.</w:t>
      </w:r>
      <w:r>
        <w:rPr>
          <w:highlight w:val="white"/>
        </w:rPr>
      </w:r>
      <w:r>
        <w:rPr>
          <w:highlight w:val="white"/>
        </w:rPr>
      </w:r>
    </w:p>
    <w:p>
      <w:pPr>
        <w:pStyle w:val="873"/>
        <w:ind w:firstLine="709"/>
        <w:jc w:val="both"/>
        <w:spacing w:line="283" w:lineRule="atLeast"/>
        <w:rPr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Стоимость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химиотерапии, проведенной пациентам с ЗНО в 1 квартале 2023 составила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 399,3 млн. рублей (125% от запланированной суммы - 320,6 млн. рублей), в том числе в стационарных условиях - 199,6 млн. рублей, в условиях дневного стационара - 199,7 млн. рублей.</w:t>
      </w:r>
      <w:r>
        <w:rPr>
          <w:highlight w:val="white"/>
        </w:rPr>
      </w:r>
      <w:r>
        <w:rPr>
          <w:highlight w:val="white"/>
        </w:rPr>
      </w:r>
    </w:p>
    <w:p>
      <w:pPr>
        <w:pStyle w:val="873"/>
        <w:ind w:firstLine="709"/>
        <w:jc w:val="both"/>
        <w:spacing w:line="283" w:lineRule="atLeast"/>
        <w:rPr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В структуре объема оказанной медицинской помощи удельный вес химиотерапии составил 66,7% (6 210 госпитализаций), в том числе в стационарных условиях – 69,3% (3 631 госпитализация), в условиях дневного стационара – 86,3% (2 579 госпитализаций).</w:t>
      </w:r>
      <w:r>
        <w:rPr>
          <w:highlight w:val="white"/>
        </w:rPr>
      </w:r>
      <w:r>
        <w:rPr>
          <w:highlight w:val="white"/>
        </w:rPr>
      </w:r>
    </w:p>
    <w:p>
      <w:pPr>
        <w:pStyle w:val="873"/>
        <w:ind w:firstLine="709"/>
        <w:jc w:val="both"/>
        <w:spacing w:line="283" w:lineRule="atLeast"/>
        <w:rPr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</w:r>
      <w:r>
        <w:rPr>
          <w:highlight w:val="white"/>
        </w:rPr>
      </w:r>
    </w:p>
    <w:p>
      <w:pPr>
        <w:pStyle w:val="873"/>
        <w:ind w:firstLine="709"/>
        <w:jc w:val="both"/>
        <w:spacing w:line="283" w:lineRule="atLeast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В результате проведенного медико-экономического контроля по пункту дефекта 1.6.3 (предъявление к оплате медицинской помощи сверх распределенного объема предоставления медицинской помощ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и, у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становленного решением комиссии по разработке территориальной программы ОМС)  в 1 квартале 2023 года были отклонены  позиции на общую сумму 137,3 млн. рублей, в том числе в стационарных условиях – 106,5 млн. рублей, в дневном стационаре – 30,8 млн. рублей.</w:t>
      </w:r>
      <w:r>
        <w:rPr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pStyle w:val="873"/>
        <w:ind w:firstLine="709"/>
        <w:jc w:val="both"/>
        <w:spacing w:line="283" w:lineRule="atLeast"/>
        <w:rPr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873"/>
        <w:ind w:firstLine="709"/>
        <w:jc w:val="both"/>
        <w:spacing w:line="283" w:lineRule="atLeast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План диспансеризации взрослого населения на </w:t>
      </w:r>
      <w:r>
        <w:rPr>
          <w:rFonts w:ascii="Times New Roman" w:hAnsi="Times New Roman" w:cs="Times New Roman"/>
          <w:sz w:val="28"/>
          <w:szCs w:val="28"/>
          <w:highlight w:val="white"/>
          <w:lang w:val="en-US"/>
        </w:rPr>
        <w:t xml:space="preserve">I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квартал 2023 года составил 88981 человек. Фактически осмотрено в рамках диспансеризации – 105683 человека или 118,8% от утвержденного пла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на. Предъявлено счетов к оплате за проведенную диспансеризацию в рамках 1 и 2 этапа на сумму 263,9 млн. рублей, оплачено 263,6 млн. рублей. Из 30 медицинских организаций, проводивших диспансеризацию взрослого населения, не выполнили установленный план  3: </w:t>
      </w:r>
      <w:r>
        <w:rPr>
          <w:highlight w:val="white"/>
        </w:rPr>
      </w:r>
      <w:r>
        <w:rPr>
          <w:highlight w:val="white"/>
        </w:rPr>
      </w:r>
    </w:p>
    <w:p>
      <w:pPr>
        <w:pStyle w:val="873"/>
        <w:ind w:firstLine="709"/>
        <w:jc w:val="both"/>
        <w:spacing w:line="283" w:lineRule="atLeast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ГУЗ Липецкая городская больница № 3 «Свободный Сокол» - 80,6%;</w:t>
      </w:r>
      <w:r>
        <w:rPr>
          <w:highlight w:val="white"/>
        </w:rPr>
      </w:r>
      <w:r>
        <w:rPr>
          <w:highlight w:val="white"/>
        </w:rPr>
      </w:r>
    </w:p>
    <w:p>
      <w:pPr>
        <w:pStyle w:val="873"/>
        <w:ind w:firstLine="709"/>
        <w:jc w:val="both"/>
        <w:spacing w:line="283" w:lineRule="atLeast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ГУЗ Липецкий областной клинический центр – 89,4%;</w:t>
      </w:r>
      <w:r>
        <w:rPr>
          <w:highlight w:val="white"/>
        </w:rPr>
      </w:r>
      <w:r>
        <w:rPr>
          <w:highlight w:val="white"/>
        </w:rPr>
      </w:r>
    </w:p>
    <w:p>
      <w:pPr>
        <w:pStyle w:val="873"/>
        <w:ind w:firstLine="709"/>
        <w:jc w:val="both"/>
        <w:spacing w:line="283" w:lineRule="atLeast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ГУЗ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Становлянская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районная больница – 80,1%.</w:t>
      </w:r>
      <w:r>
        <w:rPr>
          <w:highlight w:val="white"/>
        </w:rPr>
      </w:r>
      <w:r>
        <w:rPr>
          <w:highlight w:val="white"/>
        </w:rPr>
      </w:r>
    </w:p>
    <w:p>
      <w:pPr>
        <w:pStyle w:val="873"/>
        <w:ind w:firstLine="709"/>
        <w:jc w:val="both"/>
        <w:spacing w:line="283" w:lineRule="atLeast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План профилактических медицинских осмотров взрослого населения на </w:t>
      </w:r>
      <w:r>
        <w:rPr>
          <w:rFonts w:ascii="Times New Roman" w:hAnsi="Times New Roman" w:cs="Times New Roman"/>
          <w:sz w:val="28"/>
          <w:szCs w:val="28"/>
          <w:highlight w:val="white"/>
          <w:lang w:val="en-US"/>
        </w:rPr>
        <w:t xml:space="preserve">I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квартал 2023 года составил 23 520 человек. Фактически осмотрено 24 400 человек на сумму 37,9 млн. рублей, что составило 103,7% от утвержденного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плана. Из 30 медицинских организаций, проводивших профилактические медицинские осмотры взрослого населения, не выполнили установленный план  10:</w:t>
      </w:r>
      <w:r>
        <w:rPr>
          <w:highlight w:val="white"/>
        </w:rPr>
      </w:r>
      <w:r>
        <w:rPr>
          <w:highlight w:val="white"/>
        </w:rPr>
      </w:r>
    </w:p>
    <w:p>
      <w:pPr>
        <w:pStyle w:val="873"/>
        <w:ind w:firstLine="709"/>
        <w:jc w:val="both"/>
        <w:spacing w:line="283" w:lineRule="atLeast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ГУЗ Липецкая городская больница № 4 «Липецк-Мед» - 69%</w:t>
      </w:r>
      <w:r>
        <w:rPr>
          <w:highlight w:val="white"/>
        </w:rPr>
      </w:r>
      <w:r>
        <w:rPr>
          <w:highlight w:val="white"/>
        </w:rPr>
      </w:r>
    </w:p>
    <w:p>
      <w:pPr>
        <w:pStyle w:val="873"/>
        <w:ind w:firstLine="709"/>
        <w:jc w:val="both"/>
        <w:spacing w:line="283" w:lineRule="atLeast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ГУЗ Липецкая городская больница № 3 «Свободный Сокол» - 76%;</w:t>
      </w:r>
      <w:r>
        <w:rPr>
          <w:highlight w:val="white"/>
        </w:rPr>
      </w:r>
      <w:r>
        <w:rPr>
          <w:highlight w:val="white"/>
        </w:rPr>
      </w:r>
    </w:p>
    <w:p>
      <w:pPr>
        <w:pStyle w:val="873"/>
        <w:ind w:firstLine="709"/>
        <w:jc w:val="both"/>
        <w:spacing w:line="283" w:lineRule="atLeast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ГУЗ Липецкий областной клинический центр – 55%;</w:t>
      </w:r>
      <w:r>
        <w:rPr>
          <w:highlight w:val="white"/>
        </w:rPr>
      </w:r>
      <w:r>
        <w:rPr>
          <w:highlight w:val="white"/>
        </w:rPr>
      </w:r>
    </w:p>
    <w:p>
      <w:pPr>
        <w:pStyle w:val="873"/>
        <w:ind w:firstLine="709"/>
        <w:jc w:val="both"/>
        <w:spacing w:line="283" w:lineRule="atLeast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ГУЗ Липецкая городская больница скорой медицинской помощи №1 – 87%;</w:t>
      </w:r>
      <w:r>
        <w:rPr>
          <w:highlight w:val="white"/>
        </w:rPr>
      </w:r>
      <w:r>
        <w:rPr>
          <w:highlight w:val="white"/>
        </w:rPr>
      </w:r>
    </w:p>
    <w:p>
      <w:pPr>
        <w:pStyle w:val="873"/>
        <w:ind w:firstLine="709"/>
        <w:jc w:val="both"/>
        <w:spacing w:line="283" w:lineRule="atLeast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ГУЗ Липецкая городская поликлиника №7 – 78%; </w:t>
      </w:r>
      <w:r>
        <w:rPr>
          <w:highlight w:val="white"/>
        </w:rPr>
      </w:r>
      <w:r>
        <w:rPr>
          <w:highlight w:val="white"/>
        </w:rPr>
      </w:r>
    </w:p>
    <w:p>
      <w:pPr>
        <w:pStyle w:val="873"/>
        <w:ind w:firstLine="709"/>
        <w:jc w:val="both"/>
        <w:spacing w:line="283" w:lineRule="atLeast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ГУЗ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Добринская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центральная районная больница – 82%;</w:t>
      </w:r>
      <w:r>
        <w:rPr>
          <w:highlight w:val="white"/>
        </w:rPr>
      </w:r>
      <w:r>
        <w:rPr>
          <w:highlight w:val="white"/>
        </w:rPr>
      </w:r>
    </w:p>
    <w:p>
      <w:pPr>
        <w:pStyle w:val="873"/>
        <w:ind w:firstLine="709"/>
        <w:jc w:val="both"/>
        <w:spacing w:line="283" w:lineRule="atLeast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ГУЗ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Долгоруковская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районная больница – 94%;</w:t>
      </w:r>
      <w:r>
        <w:rPr>
          <w:highlight w:val="white"/>
        </w:rPr>
      </w:r>
      <w:r>
        <w:rPr>
          <w:highlight w:val="white"/>
        </w:rPr>
      </w:r>
    </w:p>
    <w:p>
      <w:pPr>
        <w:pStyle w:val="873"/>
        <w:ind w:firstLine="709"/>
        <w:jc w:val="both"/>
        <w:spacing w:line="283" w:lineRule="atLeast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ГУЗ Елецкая районная больница – 91%;</w:t>
      </w:r>
      <w:r>
        <w:rPr>
          <w:highlight w:val="white"/>
        </w:rPr>
      </w:r>
      <w:r>
        <w:rPr>
          <w:highlight w:val="white"/>
        </w:rPr>
      </w:r>
    </w:p>
    <w:p>
      <w:pPr>
        <w:pStyle w:val="873"/>
        <w:ind w:firstLine="709"/>
        <w:jc w:val="both"/>
        <w:spacing w:line="283" w:lineRule="atLeast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ГУЗ Лебедянская центральная районная больница – 86%;</w:t>
      </w:r>
      <w:r>
        <w:rPr>
          <w:highlight w:val="white"/>
        </w:rPr>
      </w:r>
      <w:r>
        <w:rPr>
          <w:highlight w:val="white"/>
        </w:rPr>
      </w:r>
    </w:p>
    <w:p>
      <w:pPr>
        <w:pStyle w:val="873"/>
        <w:ind w:firstLine="709"/>
        <w:jc w:val="both"/>
        <w:spacing w:line="283" w:lineRule="atLeast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ГУЗ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Становлянская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районная больница – 67%.</w:t>
      </w:r>
      <w:r>
        <w:rPr>
          <w:highlight w:val="white"/>
        </w:rPr>
      </w:r>
      <w:r>
        <w:rPr>
          <w:highlight w:val="white"/>
        </w:rPr>
      </w:r>
    </w:p>
    <w:p>
      <w:pPr>
        <w:pStyle w:val="873"/>
        <w:ind w:firstLine="709"/>
        <w:jc w:val="both"/>
        <w:spacing w:line="283" w:lineRule="atLeast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План профилактических медицинских осмотров несовершеннолетних на </w:t>
      </w:r>
      <w:r>
        <w:rPr>
          <w:rFonts w:ascii="Times New Roman" w:hAnsi="Times New Roman" w:cs="Times New Roman"/>
          <w:sz w:val="28"/>
          <w:szCs w:val="28"/>
          <w:highlight w:val="white"/>
          <w:lang w:val="en-US"/>
        </w:rPr>
        <w:t xml:space="preserve">I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квартал 2023 года составил 60 106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человек. Фактически осмотрено 49514 человек на сумму 122,9 млн. рублей, что составило 82,4% от утвержденного плана. Из 23 медицинских организаций, проводивших профилактические медицинские осмотры несовершеннолетних, выполнили установленный план только 7.</w:t>
      </w:r>
      <w:r>
        <w:rPr>
          <w:highlight w:val="white"/>
        </w:rPr>
      </w:r>
      <w:r>
        <w:rPr>
          <w:highlight w:val="white"/>
        </w:rPr>
      </w:r>
    </w:p>
    <w:p>
      <w:pPr>
        <w:pStyle w:val="873"/>
        <w:ind w:firstLine="709"/>
        <w:jc w:val="both"/>
        <w:spacing w:line="283" w:lineRule="atLeast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План диспансеризации детей-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сирот, усыновленных и принятых под опеку на </w:t>
      </w:r>
      <w:r>
        <w:rPr>
          <w:rFonts w:ascii="Times New Roman" w:hAnsi="Times New Roman" w:cs="Times New Roman"/>
          <w:sz w:val="28"/>
          <w:szCs w:val="28"/>
          <w:highlight w:val="white"/>
          <w:lang w:val="en-US"/>
        </w:rPr>
        <w:t xml:space="preserve">I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квартал 2023 года составил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264 человека. Фактически осмотрено 335 человек на сумму 1,3 млн. рублей, что составило 126,9% от утвержденного плана.</w:t>
      </w:r>
      <w:r>
        <w:rPr>
          <w:highlight w:val="white"/>
        </w:rPr>
      </w:r>
      <w:r>
        <w:rPr>
          <w:highlight w:val="white"/>
        </w:rPr>
      </w:r>
    </w:p>
    <w:p>
      <w:pPr>
        <w:pStyle w:val="873"/>
        <w:ind w:firstLine="709"/>
        <w:jc w:val="both"/>
        <w:spacing w:line="283" w:lineRule="atLeast"/>
        <w:tabs>
          <w:tab w:val="left" w:pos="6397" w:leader="none"/>
        </w:tabs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План диспансеризации детей-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сирот, пребывающих в стационарных учреждениях на </w:t>
      </w:r>
      <w:r>
        <w:rPr>
          <w:rFonts w:ascii="Times New Roman" w:hAnsi="Times New Roman" w:cs="Times New Roman"/>
          <w:sz w:val="28"/>
          <w:szCs w:val="28"/>
          <w:highlight w:val="white"/>
          <w:lang w:val="en-US"/>
        </w:rPr>
        <w:t xml:space="preserve">I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квартал 2023 года составил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377 человек. Фактически осмотрено 157 человек на сумму 1,0 млн. рублей, что составило 42,0% от утвержденного плана.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Число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пациентов, подлежащих диспансерному наблюдению за отчетный период составило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46 459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 человека. Прошли диспансерное наблюдение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46 607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 человек или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100,3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% от планового показателя. Всего оплачено реестров счетов в рамках диспансерного наблюдения за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en-US" w:eastAsia="ru-RU"/>
        </w:rPr>
        <w:t xml:space="preserve">I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 квартал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202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 год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 на сумму 5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8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 млн. рублей.</w:t>
      </w:r>
      <w:r>
        <w:rPr>
          <w:highlight w:val="white"/>
        </w:rPr>
      </w:r>
      <w:r>
        <w:rPr>
          <w:rFonts w:ascii="Times New Roman" w:hAnsi="Times New Roman" w:eastAsia="Times New Roman" w:cs="Times New Roman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/>
        </w:rPr>
      </w:r>
      <w:r>
        <w:rPr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 1 квартал 2023 года в медицинских организациях Липецкой области оказана медицинская помощь 10 461 иногороднему пациенту на сумму 119,2 млн. рублей. 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83" w:lineRule="atLeast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Согласно, предъявленным медицинскими организациями Липецкой области счетам и реестрам, иногородним пациентам оказана медицинская помощь по следующим основным профилям:</w:t>
      </w:r>
      <w:r>
        <w:rPr>
          <w:highlight w:val="white"/>
        </w:rPr>
      </w:r>
      <w:r>
        <w:rPr>
          <w:highlight w:val="white"/>
        </w:rPr>
      </w:r>
    </w:p>
    <w:p>
      <w:pPr>
        <w:pStyle w:val="867"/>
        <w:ind w:left="0" w:firstLine="708"/>
        <w:jc w:val="both"/>
        <w:spacing w:after="0" w:line="283" w:lineRule="atLeast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- акушерство и гинекология – 998 случаев на сумму 5,7 млн. рублей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;</w:t>
      </w:r>
      <w:r>
        <w:rPr>
          <w:highlight w:val="white"/>
        </w:rPr>
      </w:r>
      <w:r>
        <w:rPr>
          <w:highlight w:val="white"/>
        </w:rPr>
      </w:r>
    </w:p>
    <w:p>
      <w:pPr>
        <w:pStyle w:val="867"/>
        <w:ind w:left="709"/>
        <w:jc w:val="both"/>
        <w:spacing w:after="0" w:line="283" w:lineRule="atLeast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- офтальмология – 4 686 случаев на сумму 47,1 млн. рублей;</w:t>
      </w:r>
      <w:r>
        <w:rPr>
          <w:highlight w:val="white"/>
        </w:rPr>
      </w:r>
      <w:r>
        <w:rPr>
          <w:highlight w:val="white"/>
        </w:rPr>
      </w:r>
    </w:p>
    <w:p>
      <w:pPr>
        <w:pStyle w:val="867"/>
        <w:ind w:left="709"/>
        <w:jc w:val="both"/>
        <w:spacing w:after="0" w:line="283" w:lineRule="atLeast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- онкология - 247 случаев на сумму 6,2 млн. рублей (в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т.ч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 химиотерапия - 73 случая на сумму 4,5 млн. рублей);</w:t>
      </w:r>
      <w:r>
        <w:rPr>
          <w:highlight w:val="white"/>
        </w:rPr>
      </w:r>
      <w:r>
        <w:rPr>
          <w:highlight w:val="white"/>
        </w:rPr>
      </w:r>
    </w:p>
    <w:p>
      <w:pPr>
        <w:pStyle w:val="867"/>
        <w:ind w:left="709"/>
        <w:jc w:val="both"/>
        <w:spacing w:after="0" w:line="283" w:lineRule="atLeast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- кардиология - 301 случай на сумму 4,7 млн. рублей;</w:t>
      </w:r>
      <w:r>
        <w:rPr>
          <w:highlight w:val="white"/>
        </w:rPr>
      </w:r>
      <w:r>
        <w:rPr>
          <w:highlight w:val="white"/>
        </w:rPr>
      </w:r>
    </w:p>
    <w:p>
      <w:pPr>
        <w:pStyle w:val="867"/>
        <w:ind w:left="709"/>
        <w:jc w:val="both"/>
        <w:spacing w:after="0" w:line="283" w:lineRule="atLeast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- нефрология - 454 случая на сумму 4,3 млн. рублей;</w:t>
      </w:r>
      <w:r>
        <w:rPr>
          <w:highlight w:val="white"/>
        </w:rPr>
      </w:r>
      <w:r>
        <w:rPr>
          <w:highlight w:val="white"/>
        </w:rPr>
      </w:r>
    </w:p>
    <w:p>
      <w:pPr>
        <w:pStyle w:val="867"/>
        <w:ind w:left="709"/>
        <w:jc w:val="both"/>
        <w:spacing w:after="0" w:line="283" w:lineRule="atLeast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- неврология - 611 случаев на сумму 4,2 млн. рублей;</w:t>
      </w:r>
      <w:r>
        <w:rPr>
          <w:highlight w:val="white"/>
        </w:rPr>
      </w:r>
      <w:r>
        <w:rPr>
          <w:highlight w:val="white"/>
        </w:rPr>
      </w:r>
    </w:p>
    <w:p>
      <w:pPr>
        <w:pStyle w:val="867"/>
        <w:ind w:left="709"/>
        <w:jc w:val="both"/>
        <w:spacing w:after="0" w:line="283" w:lineRule="atLeast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- травматология и ортопедия - 618 случаев на сумму 3,3 млн. рублей.</w:t>
      </w:r>
      <w:r>
        <w:rPr>
          <w:highlight w:val="white"/>
        </w:rPr>
      </w:r>
      <w:r>
        <w:rPr>
          <w:highlight w:val="white"/>
        </w:rPr>
      </w:r>
    </w:p>
    <w:p>
      <w:pPr>
        <w:pStyle w:val="865"/>
        <w:ind w:firstLine="709"/>
        <w:jc w:val="both"/>
        <w:spacing w:after="0" w:line="283" w:lineRule="atLeast"/>
        <w:rPr>
          <w:highlight w:val="white"/>
        </w:rPr>
      </w:pPr>
      <w:r>
        <w:rPr>
          <w:sz w:val="28"/>
          <w:szCs w:val="28"/>
          <w:highlight w:val="white"/>
        </w:rPr>
        <w:t xml:space="preserve">За 1 квартал 2023 года в</w:t>
      </w:r>
      <w:r>
        <w:rPr>
          <w:sz w:val="28"/>
          <w:szCs w:val="28"/>
          <w:highlight w:val="white"/>
        </w:rPr>
        <w:t xml:space="preserve"> медицинских организациях других субъектов Российской Федерации оказана медицинская помощь 7 622 пациентам, застрахованным на территории Липецкой области на сумму 188,9 млн. рублей, в том числе по высокотехнологичной медицинской помощи – 30,0 млн. рублей.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83" w:lineRule="atLeast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Согласно, предъявленным территориальными фондами ОМС других субъектов Российской Федерации счетам и реестрам, лицам, застрахованным на территории Липецкой области, медицинская помощь была оказана по следующим основным профилям:</w:t>
      </w:r>
      <w:r>
        <w:rPr>
          <w:highlight w:val="white"/>
        </w:rPr>
      </w:r>
      <w:r>
        <w:rPr>
          <w:highlight w:val="white"/>
        </w:rPr>
      </w:r>
    </w:p>
    <w:p>
      <w:pPr>
        <w:pStyle w:val="867"/>
        <w:ind w:left="0" w:firstLine="708"/>
        <w:jc w:val="both"/>
        <w:spacing w:after="0" w:line="283" w:lineRule="atLeast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- акушерство и гинекология - 651 случай на сумму 6,2 млн. рублей (в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т.ч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ЭКО - 10 случаев</w:t>
      </w:r>
      <w:bookmarkStart w:id="0" w:name="undefined"/>
      <w:r>
        <w:rPr>
          <w:highlight w:val="white"/>
        </w:rPr>
      </w:r>
      <w:bookmarkEnd w:id="0"/>
      <w:r>
        <w:rPr>
          <w:rFonts w:ascii="Times New Roman" w:hAnsi="Times New Roman" w:cs="Times New Roman"/>
          <w:sz w:val="28"/>
          <w:szCs w:val="28"/>
          <w:highlight w:val="white"/>
        </w:rPr>
        <w:t xml:space="preserve"> на сумму 1,1 млн. рублей);</w:t>
      </w:r>
      <w:r>
        <w:rPr>
          <w:highlight w:val="white"/>
        </w:rPr>
      </w:r>
      <w:r>
        <w:rPr>
          <w:highlight w:val="white"/>
        </w:rPr>
      </w:r>
    </w:p>
    <w:p>
      <w:pPr>
        <w:pStyle w:val="867"/>
        <w:ind w:left="709"/>
        <w:jc w:val="both"/>
        <w:spacing w:after="0" w:line="283" w:lineRule="atLeast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- офтальмология – 1 163 случая на сумму 7,2 млн. рублей;</w:t>
      </w:r>
      <w:r>
        <w:rPr>
          <w:highlight w:val="white"/>
        </w:rPr>
      </w:r>
      <w:r>
        <w:rPr>
          <w:highlight w:val="white"/>
        </w:rPr>
      </w:r>
    </w:p>
    <w:p>
      <w:pPr>
        <w:pStyle w:val="867"/>
        <w:ind w:left="709"/>
        <w:jc w:val="both"/>
        <w:spacing w:after="0" w:line="283" w:lineRule="atLeast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- онкология –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1 272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случая на сумму 59,9 млн. рублей (в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т.ч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 - </w:t>
      </w:r>
      <w:r>
        <w:rPr>
          <w:highlight w:val="white"/>
        </w:rPr>
      </w:r>
      <w:r>
        <w:rPr>
          <w:highlight w:val="white"/>
        </w:rPr>
      </w:r>
    </w:p>
    <w:p>
      <w:pPr>
        <w:pStyle w:val="867"/>
        <w:ind w:left="0"/>
        <w:jc w:val="both"/>
        <w:spacing w:after="0" w:line="283" w:lineRule="atLeast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химиотерапия - 169 случаев на сумму 35,7 млн. рублей);</w:t>
      </w:r>
      <w:r>
        <w:rPr>
          <w:highlight w:val="white"/>
        </w:rPr>
      </w:r>
      <w:r>
        <w:rPr>
          <w:highlight w:val="white"/>
        </w:rPr>
      </w:r>
    </w:p>
    <w:p>
      <w:pPr>
        <w:pStyle w:val="867"/>
        <w:ind w:left="709"/>
        <w:jc w:val="both"/>
        <w:spacing w:after="0" w:line="283" w:lineRule="atLeast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- кардиология - 264 случая на сумму 3,7 млн. рублей;</w:t>
      </w:r>
      <w:r>
        <w:rPr>
          <w:highlight w:val="white"/>
        </w:rPr>
      </w:r>
      <w:r>
        <w:rPr>
          <w:highlight w:val="white"/>
        </w:rPr>
      </w:r>
    </w:p>
    <w:p>
      <w:pPr>
        <w:pStyle w:val="867"/>
        <w:ind w:left="709"/>
        <w:jc w:val="both"/>
        <w:spacing w:after="0" w:line="283" w:lineRule="atLeast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- инфекционные болезни - 167 случаев на сумму 3,7 млн. рублей;</w:t>
      </w:r>
      <w:r>
        <w:rPr>
          <w:highlight w:val="white"/>
        </w:rPr>
      </w:r>
      <w:r>
        <w:rPr>
          <w:highlight w:val="white"/>
        </w:rPr>
      </w:r>
    </w:p>
    <w:p>
      <w:pPr>
        <w:pStyle w:val="867"/>
        <w:ind w:left="709"/>
        <w:jc w:val="both"/>
        <w:spacing w:after="0" w:line="283" w:lineRule="atLeast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- неврология - 392 случая на сумму 3,0 млн. рублей;</w:t>
      </w:r>
      <w:r>
        <w:rPr>
          <w:highlight w:val="white"/>
        </w:rPr>
      </w:r>
      <w:r>
        <w:rPr>
          <w:highlight w:val="white"/>
        </w:rPr>
      </w:r>
    </w:p>
    <w:p>
      <w:pPr>
        <w:pStyle w:val="867"/>
        <w:ind w:left="709"/>
        <w:jc w:val="both"/>
        <w:spacing w:after="0" w:line="283" w:lineRule="atLeast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-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сердечно-сосудистая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хирургия - 135 случаев на сумму 11,4 млн. рублей;</w:t>
      </w:r>
      <w:r>
        <w:rPr>
          <w:highlight w:val="white"/>
        </w:rPr>
      </w:r>
      <w:r>
        <w:rPr>
          <w:highlight w:val="white"/>
        </w:rPr>
      </w:r>
    </w:p>
    <w:p>
      <w:pPr>
        <w:pStyle w:val="867"/>
        <w:ind w:left="709"/>
        <w:jc w:val="both"/>
        <w:spacing w:after="0" w:line="283" w:lineRule="atLeast"/>
        <w:rPr>
          <w:rFonts w:ascii="Times New Roman" w:hAnsi="Times New Roman" w:cs="Times New Roman"/>
          <w:color w:val="ff0000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- травматология и ортопедия - 700 случаев на сумму 25,8 млн. рублей.</w:t>
      </w:r>
      <w:r>
        <w:rPr>
          <w:highlight w:val="white"/>
        </w:rPr>
      </w:r>
      <w:r>
        <w:rPr>
          <w:rFonts w:ascii="Times New Roman" w:hAnsi="Times New Roman" w:cs="Times New Roman"/>
          <w:color w:val="ff0000"/>
          <w:sz w:val="28"/>
          <w:szCs w:val="28"/>
          <w:highlight w:val="white"/>
        </w:rPr>
      </w:r>
    </w:p>
    <w:p>
      <w:pPr>
        <w:ind w:firstLine="708"/>
        <w:jc w:val="both"/>
        <w:spacing w:after="0" w:afterAutospacing="0" w:line="283" w:lineRule="atLeast"/>
        <w:rPr>
          <w:rFonts w:ascii="Times New Roman" w:hAnsi="Times New Roman" w:eastAsia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/>
          <w:sz w:val="28"/>
          <w:szCs w:val="28"/>
          <w:highlight w:val="white"/>
          <w:lang w:val="ru-RU" w:eastAsia="ru-RU"/>
        </w:rPr>
      </w:r>
      <w:r>
        <w:rPr>
          <w:highlight w:val="white"/>
        </w:rPr>
      </w:r>
      <w:r>
        <w:rPr>
          <w:rFonts w:ascii="Times New Roman" w:hAnsi="Times New Roman" w:eastAsia="Times New Roman"/>
          <w:sz w:val="28"/>
          <w:szCs w:val="28"/>
          <w:highlight w:val="white"/>
        </w:rPr>
      </w:r>
    </w:p>
    <w:p>
      <w:pPr>
        <w:ind w:firstLine="708"/>
        <w:jc w:val="both"/>
        <w:spacing w:after="0" w:line="283" w:lineRule="atLeast"/>
        <w:rPr>
          <w:highlight w:val="white"/>
        </w:rPr>
      </w:pP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Расходы медицинских организаций за 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январь-март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 202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3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 года составили 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3 691,3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 млн. рублей, что выше показателя прошлого года на 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11,9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% или на 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393,2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 млн. рублей (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3 298,1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 млн. рублей), в том числе: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 </w:t>
      </w:r>
      <w:r>
        <w:rPr>
          <w:highlight w:val="white"/>
        </w:rPr>
      </w:r>
      <w:r>
        <w:rPr>
          <w:highlight w:val="white"/>
        </w:rPr>
      </w:r>
    </w:p>
    <w:p>
      <w:pPr>
        <w:ind w:firstLine="708"/>
        <w:jc w:val="both"/>
        <w:spacing w:after="0" w:line="283" w:lineRule="atLeast"/>
        <w:rPr>
          <w:highlight w:val="white"/>
        </w:rPr>
      </w:pP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- 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на оплату труда с начислениями – 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2 291,5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 млн. рублей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, 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что составляет 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114,8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% от уровня прошлого года (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1 996,6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 млн. рублей);</w:t>
      </w:r>
      <w:r>
        <w:rPr>
          <w:highlight w:val="white"/>
        </w:rPr>
      </w:r>
      <w:r>
        <w:rPr>
          <w:highlight w:val="white"/>
        </w:rPr>
      </w:r>
    </w:p>
    <w:p>
      <w:pPr>
        <w:ind w:firstLine="708"/>
        <w:jc w:val="both"/>
        <w:spacing w:after="0" w:line="283" w:lineRule="atLeast"/>
        <w:rPr>
          <w:highlight w:val="white"/>
        </w:rPr>
      </w:pP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 - 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оплата за медикаменты – 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746,7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 млн. рублей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на уровне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 прошлого года (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750,0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 млн. рублей);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 </w:t>
      </w:r>
      <w:r>
        <w:rPr>
          <w:highlight w:val="white"/>
        </w:rPr>
      </w:r>
      <w:r>
        <w:rPr>
          <w:highlight w:val="white"/>
        </w:rPr>
      </w:r>
    </w:p>
    <w:p>
      <w:pPr>
        <w:ind w:firstLine="708"/>
        <w:jc w:val="both"/>
        <w:spacing w:after="0" w:line="283" w:lineRule="atLeast"/>
        <w:rPr>
          <w:highlight w:val="white"/>
        </w:rPr>
      </w:pP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- оплата за продукты питания – 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46,6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 млн. рублей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, 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что выше показателя прошлого года на 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5,0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% (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44,4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 млн. рублей);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 </w:t>
      </w:r>
      <w:r>
        <w:rPr>
          <w:highlight w:val="white"/>
        </w:rPr>
      </w:r>
      <w:r>
        <w:rPr>
          <w:highlight w:val="white"/>
        </w:rPr>
      </w:r>
    </w:p>
    <w:p>
      <w:pPr>
        <w:ind w:firstLine="708"/>
        <w:jc w:val="both"/>
        <w:spacing w:after="0" w:line="283" w:lineRule="atLeast"/>
        <w:rPr>
          <w:highlight w:val="white"/>
        </w:rPr>
      </w:pP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- оплата коммунальных услуг – 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172,7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 млн. рублей, что выше уровня прошлого года на 1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7,6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% (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146,8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 млн. рублей).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 </w:t>
      </w:r>
      <w:r>
        <w:rPr>
          <w:highlight w:val="white"/>
        </w:rPr>
      </w:r>
      <w:r>
        <w:rPr>
          <w:highlight w:val="white"/>
        </w:rPr>
      </w:r>
    </w:p>
    <w:p>
      <w:pPr>
        <w:ind w:firstLine="708"/>
        <w:jc w:val="both"/>
        <w:spacing w:after="0" w:line="283" w:lineRule="atLeast"/>
        <w:rPr>
          <w:rFonts w:ascii="Times New Roman" w:hAnsi="Times New Roman" w:eastAsia="Times New Roman"/>
          <w:highlight w:val="white"/>
        </w:rPr>
      </w:pP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Наибольшую долю в структуре расходов занимают расходы на заработную плату с начислениями – 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62,1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%,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при этом темпы роста в сравнении с предыдущим периодом расходов на оплату коммунальных услуг (соответственно 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17,6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%), превышают темпы роста по другим статьям расходов, в том числе и расходов на заработную плату с начислениями.</w:t>
      </w:r>
      <w:bookmarkStart w:id="0" w:name="undefined"/>
      <w:r>
        <w:rPr>
          <w:highlight w:val="white"/>
        </w:rPr>
      </w:r>
      <w:bookmarkEnd w:id="0"/>
      <w:r>
        <w:rPr>
          <w:highlight w:val="white"/>
        </w:rPr>
      </w:r>
      <w:r>
        <w:rPr>
          <w:rFonts w:ascii="Times New Roman" w:hAnsi="Times New Roman" w:eastAsia="Times New Roman"/>
          <w:highlight w:val="white"/>
        </w:rPr>
      </w:r>
    </w:p>
    <w:p>
      <w:pPr>
        <w:ind w:firstLine="708"/>
        <w:jc w:val="both"/>
        <w:spacing w:after="0" w:afterAutospacing="0" w:line="283" w:lineRule="atLeast"/>
        <w:rPr>
          <w:rFonts w:ascii="Times New Roman" w:hAnsi="Times New Roman" w:eastAsia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/>
          <w:sz w:val="28"/>
          <w:szCs w:val="28"/>
          <w:highlight w:val="white"/>
          <w:lang w:val="ru-RU"/>
        </w:rPr>
      </w:r>
      <w:r>
        <w:rPr>
          <w:highlight w:val="white"/>
        </w:rPr>
      </w:r>
      <w:r>
        <w:rPr>
          <w:rFonts w:ascii="Times New Roman" w:hAnsi="Times New Roman" w:eastAsia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Средняя заработная плата работников государственных медицинских организаций Липецкой области в системе ОМС за </w:t>
      </w:r>
      <w:r>
        <w:rPr>
          <w:rFonts w:ascii="Times New Roman" w:hAnsi="Times New Roman" w:cs="Times New Roman"/>
          <w:sz w:val="28"/>
          <w:szCs w:val="28"/>
          <w:highlight w:val="white"/>
          <w:lang w:val="en-US"/>
        </w:rPr>
        <w:t xml:space="preserve">I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квартал 2023 года составила 39,34 тыс. рублей, что на 14,9% выше аналогичного показателя прошлого года (34,24 тыс. рублей) в том числе: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83" w:lineRule="atLeast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- по амбулаторно-поликлиническому звену средняя зарплата медицинских работников по сравнению с аналогичным периодом прошлого года возросла на 15,4 % и составила 41,64 тыс. рублей (</w:t>
      </w:r>
      <w:r>
        <w:rPr>
          <w:rFonts w:ascii="Times New Roman" w:hAnsi="Times New Roman" w:cs="Times New Roman"/>
          <w:sz w:val="28"/>
          <w:szCs w:val="28"/>
          <w:highlight w:val="white"/>
          <w:lang w:val="en-US"/>
        </w:rPr>
        <w:t xml:space="preserve">I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квартал 2022 года – 36,07 тыс. рублей);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83" w:lineRule="atLeast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- в стационарном звене рост средней зарплаты медицинских работников составил 16,0 % - 52,43 тыс. рублей (</w:t>
      </w:r>
      <w:r>
        <w:rPr>
          <w:rFonts w:ascii="Times New Roman" w:hAnsi="Times New Roman" w:cs="Times New Roman"/>
          <w:sz w:val="28"/>
          <w:szCs w:val="28"/>
          <w:highlight w:val="white"/>
          <w:lang w:val="en-US"/>
        </w:rPr>
        <w:t xml:space="preserve">I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квартал 2022 года – 45,18 тыс. рублей); 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83" w:lineRule="atLeast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- в подразделениях скорой помощи средняя зарплата медицинских работников из средств ОМС составила 47,00 тыс. рублей, рост - 24,4 % (</w:t>
      </w:r>
      <w:r>
        <w:rPr>
          <w:rFonts w:ascii="Times New Roman" w:hAnsi="Times New Roman" w:cs="Times New Roman"/>
          <w:sz w:val="28"/>
          <w:szCs w:val="28"/>
          <w:highlight w:val="white"/>
          <w:lang w:val="en-US"/>
        </w:rPr>
        <w:t xml:space="preserve">I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квартал 2022 года – 37,77 тыс. рублей).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83" w:lineRule="atLeast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отчетном периоде </w:t>
      </w:r>
      <w:r>
        <w:rPr>
          <w:rFonts w:ascii="Times New Roman" w:hAnsi="Times New Roman" w:eastAsia="Calibri" w:cs="Times New Roman"/>
          <w:sz w:val="28"/>
          <w:szCs w:val="28"/>
          <w:highlight w:val="white"/>
        </w:rPr>
        <w:t xml:space="preserve">средняя заработная плата по категориям персонала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по сравнению с аналогичным периодом прошлого года сложилась следующим образом</w:t>
      </w:r>
      <w:r>
        <w:rPr>
          <w:rFonts w:ascii="Times New Roman" w:hAnsi="Times New Roman" w:eastAsia="Calibri" w:cs="Times New Roman"/>
          <w:sz w:val="28"/>
          <w:szCs w:val="28"/>
          <w:highlight w:val="white"/>
        </w:rPr>
        <w:t xml:space="preserve">: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83" w:lineRule="atLeast"/>
        <w:rPr>
          <w:highlight w:val="white"/>
        </w:rPr>
      </w:pPr>
      <w:r>
        <w:rPr>
          <w:rFonts w:ascii="Times New Roman" w:hAnsi="Times New Roman" w:eastAsia="Calibri" w:cs="Times New Roman"/>
          <w:sz w:val="28"/>
          <w:szCs w:val="28"/>
          <w:highlight w:val="white"/>
        </w:rPr>
        <w:t xml:space="preserve">- по врачебным кадрам средняя зарплата увеличилась на 12,8% и составила 73,09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тыс.</w:t>
      </w:r>
      <w:r>
        <w:rPr>
          <w:rFonts w:ascii="Times New Roman" w:hAnsi="Times New Roman" w:eastAsia="Calibri" w:cs="Times New Roman"/>
          <w:sz w:val="28"/>
          <w:szCs w:val="28"/>
          <w:highlight w:val="white"/>
        </w:rPr>
        <w:t xml:space="preserve"> рублей (64,81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тыс.</w:t>
      </w:r>
      <w:r>
        <w:rPr>
          <w:rFonts w:ascii="Times New Roman" w:hAnsi="Times New Roman" w:eastAsia="Calibri" w:cs="Times New Roman"/>
          <w:sz w:val="28"/>
          <w:szCs w:val="28"/>
          <w:highlight w:val="white"/>
        </w:rPr>
        <w:t xml:space="preserve"> рублей за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  <w:lang w:val="en-US"/>
        </w:rPr>
        <w:t xml:space="preserve">I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квартал 2022 года)</w:t>
      </w:r>
      <w:r>
        <w:rPr>
          <w:rFonts w:ascii="Times New Roman" w:hAnsi="Times New Roman" w:eastAsia="Calibri" w:cs="Times New Roman"/>
          <w:sz w:val="28"/>
          <w:szCs w:val="28"/>
          <w:highlight w:val="white"/>
        </w:rPr>
        <w:t xml:space="preserve">;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83" w:lineRule="atLeast"/>
        <w:rPr>
          <w:highlight w:val="white"/>
        </w:rPr>
      </w:pPr>
      <w:r>
        <w:rPr>
          <w:rFonts w:ascii="Times New Roman" w:hAnsi="Times New Roman" w:eastAsia="Calibri" w:cs="Times New Roman"/>
          <w:sz w:val="28"/>
          <w:szCs w:val="28"/>
          <w:highlight w:val="white"/>
        </w:rPr>
        <w:t xml:space="preserve">- по среднему медперсоналу рост средней зарплаты составил 17,2 % - 39,57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тыс. </w:t>
      </w:r>
      <w:r>
        <w:rPr>
          <w:rFonts w:ascii="Times New Roman" w:hAnsi="Times New Roman" w:eastAsia="Calibri" w:cs="Times New Roman"/>
          <w:sz w:val="28"/>
          <w:szCs w:val="28"/>
          <w:highlight w:val="white"/>
        </w:rPr>
        <w:t xml:space="preserve">рублей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(33,75</w:t>
      </w:r>
      <w:r>
        <w:rPr>
          <w:rFonts w:ascii="Times New Roman" w:hAnsi="Times New Roman" w:eastAsia="Calibri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тыс.</w:t>
      </w:r>
      <w:r>
        <w:rPr>
          <w:rFonts w:ascii="Times New Roman" w:hAnsi="Times New Roman" w:eastAsia="Calibri" w:cs="Times New Roman"/>
          <w:sz w:val="28"/>
          <w:szCs w:val="28"/>
          <w:highlight w:val="white"/>
        </w:rPr>
        <w:t xml:space="preserve"> рублей за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  <w:lang w:val="en-US"/>
        </w:rPr>
        <w:t xml:space="preserve">I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квартал 2022 года)</w:t>
      </w:r>
      <w:r>
        <w:rPr>
          <w:rFonts w:ascii="Times New Roman" w:hAnsi="Times New Roman" w:eastAsia="Calibri" w:cs="Times New Roman"/>
          <w:sz w:val="28"/>
          <w:szCs w:val="28"/>
          <w:highlight w:val="white"/>
        </w:rPr>
        <w:t xml:space="preserve">;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83" w:lineRule="atLeast"/>
        <w:rPr>
          <w:highlight w:val="white"/>
        </w:rPr>
      </w:pPr>
      <w:r>
        <w:rPr>
          <w:rFonts w:ascii="Times New Roman" w:hAnsi="Times New Roman" w:eastAsia="Calibri" w:cs="Times New Roman"/>
          <w:sz w:val="28"/>
          <w:szCs w:val="28"/>
          <w:highlight w:val="white"/>
        </w:rPr>
        <w:t xml:space="preserve">- по младшему медицинскому персоналу средняя зарплата увеличилась на 16,7% и составила 36,98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тыс.</w:t>
      </w:r>
      <w:r>
        <w:rPr>
          <w:rFonts w:ascii="Times New Roman" w:hAnsi="Times New Roman" w:eastAsia="Calibri" w:cs="Times New Roman"/>
          <w:sz w:val="28"/>
          <w:szCs w:val="28"/>
          <w:highlight w:val="white"/>
        </w:rPr>
        <w:t xml:space="preserve"> рублей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(31,69</w:t>
      </w:r>
      <w:r>
        <w:rPr>
          <w:rFonts w:ascii="Times New Roman" w:hAnsi="Times New Roman" w:eastAsia="Calibri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тыс.</w:t>
      </w:r>
      <w:r>
        <w:rPr>
          <w:rFonts w:ascii="Times New Roman" w:hAnsi="Times New Roman" w:eastAsia="Calibri" w:cs="Times New Roman"/>
          <w:sz w:val="28"/>
          <w:szCs w:val="28"/>
          <w:highlight w:val="white"/>
        </w:rPr>
        <w:t xml:space="preserve"> рублей за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  <w:lang w:val="en-US"/>
        </w:rPr>
        <w:t xml:space="preserve">I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квартал 2022 года)</w:t>
      </w:r>
      <w:r>
        <w:rPr>
          <w:rFonts w:ascii="Times New Roman" w:hAnsi="Times New Roman" w:eastAsia="Calibri" w:cs="Times New Roman"/>
          <w:sz w:val="28"/>
          <w:szCs w:val="28"/>
          <w:highlight w:val="white"/>
        </w:rPr>
        <w:t xml:space="preserve">;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83" w:lineRule="atLeast"/>
        <w:rPr>
          <w:highlight w:val="white"/>
        </w:rPr>
      </w:pPr>
      <w:r>
        <w:rPr>
          <w:rFonts w:ascii="Times New Roman" w:hAnsi="Times New Roman" w:eastAsia="Calibri" w:cs="Times New Roman"/>
          <w:sz w:val="28"/>
          <w:szCs w:val="28"/>
          <w:highlight w:val="white"/>
        </w:rPr>
        <w:t xml:space="preserve">- по прочему персоналу рост средней зарплаты составил 12,0% - 24,11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тыс. </w:t>
      </w:r>
      <w:r>
        <w:rPr>
          <w:rFonts w:ascii="Times New Roman" w:hAnsi="Times New Roman" w:eastAsia="Calibri" w:cs="Times New Roman"/>
          <w:sz w:val="28"/>
          <w:szCs w:val="28"/>
          <w:highlight w:val="white"/>
        </w:rPr>
        <w:t xml:space="preserve">рублей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(21,52 тыс.</w:t>
      </w:r>
      <w:r>
        <w:rPr>
          <w:rFonts w:ascii="Times New Roman" w:hAnsi="Times New Roman" w:eastAsia="Calibri" w:cs="Times New Roman"/>
          <w:sz w:val="28"/>
          <w:szCs w:val="28"/>
          <w:highlight w:val="white"/>
        </w:rPr>
        <w:t xml:space="preserve"> рублей за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  <w:lang w:val="en-US"/>
        </w:rPr>
        <w:t xml:space="preserve">I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квартал 2022 года)</w:t>
      </w:r>
      <w:r>
        <w:rPr>
          <w:rFonts w:ascii="Times New Roman" w:hAnsi="Times New Roman" w:eastAsia="Calibri" w:cs="Times New Roman"/>
          <w:sz w:val="28"/>
          <w:szCs w:val="28"/>
          <w:highlight w:val="white"/>
        </w:rPr>
        <w:t xml:space="preserve">;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83" w:lineRule="atLeast"/>
        <w:rPr>
          <w:highlight w:val="white"/>
        </w:rPr>
      </w:pPr>
      <w:r>
        <w:rPr>
          <w:rFonts w:ascii="Times New Roman" w:hAnsi="Times New Roman" w:eastAsia="Calibri" w:cs="Times New Roman"/>
          <w:sz w:val="28"/>
          <w:szCs w:val="28"/>
          <w:highlight w:val="white"/>
        </w:rPr>
        <w:t xml:space="preserve">- по АУП средняя зарплата увеличилась на 11,2 % и составила 57,29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тыс.</w:t>
      </w:r>
      <w:r>
        <w:rPr>
          <w:rFonts w:ascii="Times New Roman" w:hAnsi="Times New Roman" w:eastAsia="Calibri" w:cs="Times New Roman"/>
          <w:sz w:val="28"/>
          <w:szCs w:val="28"/>
          <w:highlight w:val="white"/>
        </w:rPr>
        <w:t xml:space="preserve"> рублей (51,51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тыс.</w:t>
      </w:r>
      <w:r>
        <w:rPr>
          <w:rFonts w:ascii="Times New Roman" w:hAnsi="Times New Roman" w:eastAsia="Calibri" w:cs="Times New Roman"/>
          <w:sz w:val="28"/>
          <w:szCs w:val="28"/>
          <w:highlight w:val="white"/>
        </w:rPr>
        <w:t xml:space="preserve"> рублей за </w:t>
      </w:r>
      <w:r>
        <w:rPr>
          <w:rFonts w:ascii="Times New Roman" w:hAnsi="Times New Roman" w:cs="Times New Roman"/>
          <w:sz w:val="28"/>
          <w:szCs w:val="28"/>
          <w:highlight w:val="white"/>
          <w:lang w:val="en-US"/>
        </w:rPr>
        <w:t xml:space="preserve">I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квартал 2022 года)</w:t>
      </w:r>
      <w:r>
        <w:rPr>
          <w:rFonts w:ascii="Times New Roman" w:hAnsi="Times New Roman" w:eastAsia="Calibri" w:cs="Times New Roman"/>
          <w:sz w:val="28"/>
          <w:szCs w:val="28"/>
          <w:highlight w:val="white"/>
        </w:rPr>
        <w:t xml:space="preserve">.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Во исполнение пункта 7.1 части 2 статьи 20 Федерального закона № 326-Ф3 «Об обязательном медицинском страховании», Правил использования средств нормированного страхового запаса ТФОМС Липецкой области 30 марта 2023 года был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утвержден План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 на сумму 14 124,4 тыс. рублей, в том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числе на допо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лнительн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ого профессионального образования медицинских работников – 1 128,9 тыс. рублей, на приобретение медицинского оборудования – 7 273,6 тыс. руб., проведение ремонта медицинского оборудования – 5 721,9 тыс. рублей. Подписаны соглашения с 16 медицинскими органи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зациями Липецкой области о финансовом обеспечении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оборудования. </w:t>
      </w:r>
      <w:r>
        <w:rPr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8"/>
        <w:jc w:val="both"/>
        <w:spacing w:after="0" w:line="283" w:lineRule="atLeast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На основании распоряжения Правительства Российской Федерации от 08.12.2022 № 3798-р ТФОМС Липецкой области в целях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софинансирования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расходов медицинских организаций на оплату труда врачей и среднего медицинского персонала предусмотрено на 2023 год денежных сре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дств в с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умме 34 608,9 тыс. рублей. В </w:t>
      </w:r>
      <w:r>
        <w:rPr>
          <w:rFonts w:ascii="Times New Roman" w:hAnsi="Times New Roman" w:cs="Times New Roman"/>
          <w:sz w:val="28"/>
          <w:szCs w:val="28"/>
          <w:highlight w:val="white"/>
          <w:lang w:val="en-US"/>
        </w:rPr>
        <w:t xml:space="preserve">I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квартале 2023 года на данные цели направлено 3 484,3 тыс. рублей.</w:t>
      </w:r>
      <w:r>
        <w:rPr>
          <w:highlight w:val="white"/>
        </w:rPr>
      </w:r>
      <w:r>
        <w:rPr>
          <w:highlight w:val="white"/>
        </w:rPr>
      </w:r>
    </w:p>
    <w:p>
      <w:pPr>
        <w:ind w:firstLine="708"/>
        <w:jc w:val="both"/>
        <w:spacing w:after="0" w:line="283" w:lineRule="atLeast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Для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софинансирования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расходов медицинских организаций на оплату труда врачей и среднего медицинского персонала было заключено 33 трехсторонних соглашения между ТФОМС Липецкой области, управлением здравоохранения Липецкой области и медицинскими организациями.</w:t>
      </w:r>
      <w:r>
        <w:rPr>
          <w:highlight w:val="white"/>
        </w:rPr>
      </w:r>
      <w:r>
        <w:rPr>
          <w:highlight w:val="white"/>
        </w:rPr>
      </w:r>
    </w:p>
    <w:p>
      <w:pPr>
        <w:ind w:firstLine="708"/>
        <w:jc w:val="both"/>
        <w:spacing w:after="0" w:line="283" w:lineRule="atLeast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</w:t>
      </w:r>
      <w:r>
        <w:rPr>
          <w:rFonts w:ascii="Times New Roman" w:hAnsi="Times New Roman" w:cs="Times New Roman"/>
          <w:sz w:val="28"/>
          <w:szCs w:val="28"/>
          <w:highlight w:val="white"/>
          <w:lang w:val="en-US"/>
        </w:rPr>
        <w:t xml:space="preserve">I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квартале 2023 года заявки на оплату труда врачей и среднего медицинского персонала из средств нормированного страхового запаса для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софинансирования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расходов медицинских организаций ежемесячно поступали от 33 медицинских организаций, из них 1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2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медицинских организаций показали прирост численности медицинских работников на общую сумму заработной платы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3 484,3 тыс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 рублей. (21 врач и 11 средних медицинских работников).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соответствии с Федеральным законом от 29.11.2010 № 326-ФЗ «Об обязательном медицинском страховании в Российской Федерации» и действующими нормативными документами в обл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асти обязательного медицинского страхования, ТФОМС Липецкой области осуществляет контроль использования финансовых средств обязательного медицинского страхования медицинскими организациями и страховыми медицинскими организациями путем проведения проверок. </w:t>
      </w:r>
      <w:r>
        <w:rPr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83" w:lineRule="atLeast"/>
        <w:rPr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Основанием для проведения проверки являлся приказ директора ТФОМС Липецкой области, который определял тему проверки, проверяемый период, руководителя комиссии, состав комиссии, сроки проведения проверки, форму проверки.</w:t>
      </w:r>
      <w:r>
        <w:rPr>
          <w:highlight w:val="white"/>
        </w:rPr>
      </w:r>
      <w:r>
        <w:rPr>
          <w:highlight w:val="white"/>
        </w:rPr>
      </w:r>
    </w:p>
    <w:p>
      <w:pPr>
        <w:ind w:firstLine="720"/>
        <w:jc w:val="both"/>
        <w:spacing w:after="0" w:line="283" w:lineRule="atLeast"/>
        <w:rPr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В план проверок на 1 квартал 2023 года включены 9 медицинских организаций и 2 страховые медицинские организации. </w:t>
      </w:r>
      <w:r>
        <w:rPr>
          <w:highlight w:val="white"/>
        </w:rPr>
      </w:r>
      <w:r>
        <w:rPr>
          <w:highlight w:val="white"/>
        </w:rPr>
      </w:r>
    </w:p>
    <w:p>
      <w:pPr>
        <w:ind w:firstLine="540"/>
        <w:jc w:val="both"/>
        <w:spacing w:after="0" w:line="283" w:lineRule="atLeast"/>
        <w:rPr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За 1 квартал 2023 года проведены 14 проверок, в том числе: в медицинских организациях - 9 плановые проверки; в страховых медицинских организациях - 2 плановые комплексные проверки, 3 внеплановые проверки. </w:t>
      </w:r>
      <w:r>
        <w:rPr>
          <w:highlight w:val="white"/>
        </w:rPr>
      </w:r>
      <w:r>
        <w:rPr>
          <w:highlight w:val="white"/>
        </w:rPr>
      </w:r>
    </w:p>
    <w:p>
      <w:pPr>
        <w:jc w:val="both"/>
        <w:spacing w:after="0" w:line="283" w:lineRule="atLeast"/>
        <w:tabs>
          <w:tab w:val="left" w:pos="709" w:leader="none"/>
        </w:tabs>
        <w:rPr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Остаток не восстановленных средств ОМС по состоянию на 01.01.2023 составил 1 456,0 тыс. рублей. </w:t>
      </w:r>
      <w:r>
        <w:rPr>
          <w:highlight w:val="white"/>
        </w:rPr>
      </w:r>
      <w:r>
        <w:rPr>
          <w:highlight w:val="white"/>
        </w:rPr>
      </w:r>
    </w:p>
    <w:p>
      <w:pPr>
        <w:ind w:firstLine="708"/>
        <w:jc w:val="both"/>
        <w:spacing w:after="0" w:line="283" w:lineRule="atLeast"/>
        <w:rPr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По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итогам проверок за 1 квартал 2023 год в медицинских организациях выявлено нецелевое использование средств обязательного медицинского страхования на сумму 534,5 тыс. рублей (1 квартал 2022 года - 319,2 тыс. рублей, 2022 год - 3 164,5 тыс. рублей), а именно:</w:t>
      </w:r>
      <w:r>
        <w:rPr>
          <w:highlight w:val="white"/>
        </w:rPr>
      </w:r>
      <w:r>
        <w:rPr>
          <w:highlight w:val="white"/>
        </w:rPr>
      </w:r>
    </w:p>
    <w:p>
      <w:pPr>
        <w:ind w:firstLine="993"/>
        <w:jc w:val="both"/>
        <w:spacing w:after="0" w:line="283" w:lineRule="atLeast"/>
        <w:tabs>
          <w:tab w:val="left" w:pos="426" w:leader="none"/>
        </w:tabs>
        <w:rPr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0"/>
          <w:highlight w:val="white"/>
          <w:lang w:eastAsia="zh-CN"/>
        </w:rPr>
        <w:t xml:space="preserve"> «Оплата видов медицинской помощи, не включенных в территориальную программу ОМС» - 42,0 тыс. рублей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 или 7,9% от выявленной суммы нецелевого использования средств ОМС:</w:t>
      </w:r>
      <w:r>
        <w:rPr>
          <w:highlight w:val="white"/>
        </w:rPr>
      </w:r>
      <w:r>
        <w:rPr>
          <w:highlight w:val="white"/>
        </w:rPr>
      </w:r>
    </w:p>
    <w:p>
      <w:pPr>
        <w:ind w:firstLine="993"/>
        <w:jc w:val="both"/>
        <w:spacing w:after="0" w:line="283" w:lineRule="atLeast"/>
        <w:tabs>
          <w:tab w:val="left" w:pos="426" w:leader="none"/>
        </w:tabs>
        <w:rPr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0"/>
          <w:highlight w:val="white"/>
          <w:lang w:eastAsia="zh-CN"/>
        </w:rPr>
        <w:t xml:space="preserve">- 18,6 тыс. рублей </w:t>
      </w:r>
      <w:r>
        <w:rPr>
          <w:rFonts w:ascii="Times New Roman" w:hAnsi="Times New Roman" w:eastAsia="Times New Roman" w:cs="Times New Roman"/>
          <w:sz w:val="28"/>
          <w:szCs w:val="20"/>
          <w:highlight w:val="white"/>
          <w:lang w:eastAsia="zh-CN"/>
        </w:rPr>
        <w:t xml:space="preserve">–о</w:t>
      </w:r>
      <w:r>
        <w:rPr>
          <w:rFonts w:ascii="Times New Roman" w:hAnsi="Times New Roman" w:eastAsia="Times New Roman" w:cs="Times New Roman"/>
          <w:sz w:val="28"/>
          <w:szCs w:val="20"/>
          <w:highlight w:val="white"/>
          <w:lang w:eastAsia="zh-CN"/>
        </w:rPr>
        <w:t xml:space="preserve">свидетельствование водителей; </w:t>
      </w:r>
      <w:r>
        <w:rPr>
          <w:highlight w:val="white"/>
        </w:rPr>
      </w:r>
      <w:r>
        <w:rPr>
          <w:highlight w:val="white"/>
        </w:rPr>
      </w:r>
    </w:p>
    <w:p>
      <w:pPr>
        <w:ind w:firstLine="993"/>
        <w:jc w:val="both"/>
        <w:spacing w:after="0" w:line="283" w:lineRule="atLeast"/>
        <w:tabs>
          <w:tab w:val="left" w:pos="426" w:leader="none"/>
        </w:tabs>
        <w:rPr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0"/>
          <w:highlight w:val="white"/>
          <w:lang w:eastAsia="zh-CN"/>
        </w:rPr>
        <w:t xml:space="preserve">- 23,4тыс. рублей – </w:t>
      </w:r>
      <w:r>
        <w:rPr>
          <w:rFonts w:ascii="Times New Roman" w:hAnsi="Times New Roman" w:eastAsia="Times New Roman" w:cs="Times New Roman"/>
          <w:sz w:val="28"/>
          <w:szCs w:val="20"/>
          <w:highlight w:val="white"/>
          <w:lang w:eastAsia="zh-CN"/>
        </w:rPr>
        <w:t xml:space="preserve">обучение по темам</w:t>
      </w:r>
      <w:r>
        <w:rPr>
          <w:rFonts w:ascii="Times New Roman" w:hAnsi="Times New Roman" w:eastAsia="Times New Roman" w:cs="Times New Roman"/>
          <w:sz w:val="28"/>
          <w:szCs w:val="20"/>
          <w:highlight w:val="white"/>
          <w:lang w:eastAsia="zh-CN"/>
        </w:rPr>
        <w:t xml:space="preserve"> не связанным с оказанием медицинской помощи в рамках территориальной программы  ОМС; </w:t>
      </w:r>
      <w:r>
        <w:rPr>
          <w:highlight w:val="white"/>
        </w:rPr>
      </w:r>
      <w:r>
        <w:rPr>
          <w:highlight w:val="white"/>
        </w:rPr>
      </w:r>
    </w:p>
    <w:p>
      <w:pPr>
        <w:ind w:firstLine="993"/>
        <w:jc w:val="both"/>
        <w:spacing w:after="0" w:line="283" w:lineRule="atLeast"/>
        <w:rPr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0"/>
          <w:highlight w:val="white"/>
          <w:lang w:eastAsia="zh-CN"/>
        </w:rPr>
        <w:t xml:space="preserve"> «Оплата расходов, не включенных в тарифы на оплату медицинской помощи в рамках территориальной программы ОМС» - 259,0 тыс. рублей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 или  48,5% от выявленной суммы нецелевого использования средств ОМС:</w:t>
      </w:r>
      <w:r>
        <w:rPr>
          <w:highlight w:val="white"/>
        </w:rPr>
      </w:r>
      <w:r>
        <w:rPr>
          <w:highlight w:val="white"/>
        </w:rPr>
      </w:r>
    </w:p>
    <w:p>
      <w:pPr>
        <w:ind w:firstLine="993"/>
        <w:jc w:val="both"/>
        <w:spacing w:after="0" w:line="283" w:lineRule="atLeast"/>
        <w:rPr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- 54,2 тыс. руб.- поверка анализаторов алкоголя</w:t>
      </w:r>
      <w:r>
        <w:rPr>
          <w:rFonts w:ascii="Times New Roman" w:hAnsi="Times New Roman" w:eastAsia="Times New Roman" w:cs="Times New Roman"/>
          <w:sz w:val="28"/>
          <w:szCs w:val="20"/>
          <w:highlight w:val="white"/>
        </w:rPr>
        <w:t xml:space="preserve">;</w:t>
      </w:r>
      <w:r>
        <w:rPr>
          <w:highlight w:val="white"/>
        </w:rPr>
      </w:r>
      <w:r>
        <w:rPr>
          <w:highlight w:val="white"/>
        </w:rPr>
      </w:r>
    </w:p>
    <w:p>
      <w:pPr>
        <w:ind w:firstLine="992"/>
        <w:jc w:val="both"/>
        <w:spacing w:after="0" w:line="283" w:lineRule="atLeast"/>
        <w:tabs>
          <w:tab w:val="left" w:pos="426" w:leader="none"/>
        </w:tabs>
        <w:rPr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0"/>
          <w:highlight w:val="white"/>
          <w:lang w:eastAsia="zh-CN"/>
        </w:rPr>
        <w:t xml:space="preserve">- 33,8 тыс. рублей – оплата расходов за счет средств ОМС с превышением пропорциональной доли дохода в суммарном объеме доходов по всем источникам финансирования;</w:t>
      </w:r>
      <w:r>
        <w:rPr>
          <w:highlight w:val="white"/>
        </w:rPr>
      </w:r>
      <w:r>
        <w:rPr>
          <w:highlight w:val="white"/>
        </w:rPr>
      </w:r>
    </w:p>
    <w:p>
      <w:pPr>
        <w:ind w:firstLine="992"/>
        <w:jc w:val="both"/>
        <w:spacing w:after="0" w:line="283" w:lineRule="atLeast"/>
        <w:rPr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0"/>
          <w:highlight w:val="white"/>
          <w:lang w:eastAsia="zh-CN"/>
        </w:rPr>
        <w:t xml:space="preserve">- 143,7 тыс. рублей – приобретение в 2015 году оборудования, и находящегося на складе по состоянию на 01.01.2023; </w:t>
      </w:r>
      <w:r>
        <w:rPr>
          <w:highlight w:val="white"/>
        </w:rPr>
      </w:r>
      <w:r>
        <w:rPr>
          <w:highlight w:val="white"/>
        </w:rPr>
      </w:r>
    </w:p>
    <w:p>
      <w:pPr>
        <w:ind w:firstLine="992"/>
        <w:jc w:val="both"/>
        <w:spacing w:after="0" w:line="283" w:lineRule="atLeast"/>
        <w:rPr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0"/>
          <w:highlight w:val="white"/>
          <w:lang w:eastAsia="zh-CN"/>
        </w:rPr>
        <w:t xml:space="preserve">- 27,3 тыс. рублей – выплата материальной помощи работникам медицинской организации;</w:t>
      </w:r>
      <w:r>
        <w:rPr>
          <w:highlight w:val="white"/>
        </w:rPr>
      </w:r>
      <w:r>
        <w:rPr>
          <w:highlight w:val="white"/>
        </w:rPr>
      </w:r>
    </w:p>
    <w:p>
      <w:pPr>
        <w:ind w:firstLine="425"/>
        <w:jc w:val="both"/>
        <w:spacing w:after="0" w:line="283" w:lineRule="atLeast"/>
        <w:tabs>
          <w:tab w:val="left" w:pos="426" w:leader="none"/>
        </w:tabs>
        <w:rPr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0"/>
          <w:highlight w:val="white"/>
          <w:lang w:eastAsia="zh-CN"/>
        </w:rPr>
        <w:t xml:space="preserve">«Расходование  сре</w:t>
      </w:r>
      <w:r>
        <w:rPr>
          <w:rFonts w:ascii="Times New Roman" w:hAnsi="Times New Roman" w:eastAsia="Times New Roman" w:cs="Times New Roman"/>
          <w:sz w:val="28"/>
          <w:szCs w:val="20"/>
          <w:highlight w:val="white"/>
          <w:lang w:eastAsia="zh-CN"/>
        </w:rPr>
        <w:t xml:space="preserve">дств пр</w:t>
      </w:r>
      <w:r>
        <w:rPr>
          <w:rFonts w:ascii="Times New Roman" w:hAnsi="Times New Roman" w:eastAsia="Times New Roman" w:cs="Times New Roman"/>
          <w:sz w:val="28"/>
          <w:szCs w:val="20"/>
          <w:highlight w:val="white"/>
          <w:lang w:eastAsia="zh-CN"/>
        </w:rPr>
        <w:t xml:space="preserve">и отсутствии подтверждающих документов» -  233,5 тыс. рублей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или 43,6 % от выявленной суммы нецелевого использования средств</w:t>
      </w:r>
      <w:r>
        <w:rPr>
          <w:rFonts w:ascii="Times New Roman" w:hAnsi="Times New Roman" w:eastAsia="Times New Roman" w:cs="Times New Roman"/>
          <w:sz w:val="28"/>
          <w:szCs w:val="20"/>
          <w:highlight w:val="white"/>
          <w:lang w:eastAsia="zh-CN"/>
        </w:rPr>
        <w:t xml:space="preserve"> ОМС:</w:t>
      </w:r>
      <w:r>
        <w:rPr>
          <w:highlight w:val="white"/>
        </w:rPr>
      </w:r>
      <w:r>
        <w:rPr>
          <w:highlight w:val="white"/>
        </w:rPr>
      </w:r>
    </w:p>
    <w:p>
      <w:pPr>
        <w:ind w:firstLine="992"/>
        <w:jc w:val="both"/>
        <w:spacing w:after="0" w:line="283" w:lineRule="atLeast"/>
        <w:rPr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zh-CN"/>
        </w:rPr>
        <w:t xml:space="preserve">233,5 тыс. рублей - выплата заработной платы, с учетом начислений, при отсутстви</w:t>
      </w:r>
      <w:r>
        <w:rPr>
          <w:rFonts w:ascii="Times New Roman" w:hAnsi="Times New Roman" w:eastAsia="Times New Roman" w:cs="Times New Roman"/>
          <w:sz w:val="28"/>
          <w:szCs w:val="20"/>
          <w:highlight w:val="white"/>
          <w:lang w:eastAsia="zh-CN"/>
        </w:rPr>
        <w:t xml:space="preserve">и  сертификата специалиста.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83" w:lineRule="atLeast"/>
        <w:tabs>
          <w:tab w:val="left" w:pos="426" w:leader="none"/>
        </w:tabs>
        <w:rPr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0"/>
          <w:highlight w:val="white"/>
          <w:lang w:eastAsia="zh-CN"/>
        </w:rPr>
        <w:t xml:space="preserve">Возвращено в бюджет ТФОМС Липецкой области в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соответствии с требованиями Федерального закона от 29.11.2010 № 326-ФЗ «Об обязательном медицинском страховании в Российской Федерации» - 695,2 тыс. рублей.</w:t>
      </w:r>
      <w:r>
        <w:rPr>
          <w:highlight w:val="white"/>
        </w:rPr>
      </w:r>
      <w:r>
        <w:rPr>
          <w:highlight w:val="white"/>
        </w:rPr>
      </w:r>
    </w:p>
    <w:p>
      <w:pPr>
        <w:ind w:firstLine="284"/>
        <w:jc w:val="both"/>
        <w:spacing w:after="0" w:line="283" w:lineRule="atLeast"/>
        <w:tabs>
          <w:tab w:val="left" w:pos="709" w:leader="none"/>
        </w:tabs>
        <w:rPr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ab/>
        <w:t xml:space="preserve">Остаток невосстановленных средств ОМС по состоянию на 01.04.2023 года  составляет  1 295,3</w:t>
      </w:r>
      <w:r>
        <w:rPr>
          <w:rFonts w:ascii="Times New Roman" w:hAnsi="Times New Roman" w:eastAsia="Times New Roman" w:cs="Times New Roman"/>
          <w:color w:val="ff0000"/>
          <w:sz w:val="28"/>
          <w:szCs w:val="28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тыс. рублей</w:t>
      </w:r>
      <w:r>
        <w:rPr>
          <w:rFonts w:ascii="Times New Roman" w:hAnsi="Times New Roman" w:eastAsia="Times New Roman" w:cs="Times New Roman"/>
          <w:color w:val="ff0000"/>
          <w:sz w:val="28"/>
          <w:szCs w:val="28"/>
          <w:highlight w:val="white"/>
          <w:lang w:eastAsia="ru-RU"/>
        </w:rPr>
        <w:t xml:space="preserve"> 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83" w:lineRule="atLeast"/>
        <w:rPr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Сумма предъявленных штрафов, пеней по результатам проверок деятельности страховых медицинских организаций и медицинских организаций в сфере обязательного медицинского страхования за  1 квартал 2023 года составила 159,4 тыс. рублей, в том числе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по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: </w:t>
      </w:r>
      <w:r>
        <w:rPr>
          <w:highlight w:val="white"/>
        </w:rPr>
      </w:r>
      <w:r>
        <w:rPr>
          <w:highlight w:val="white"/>
        </w:rPr>
      </w:r>
    </w:p>
    <w:p>
      <w:pPr>
        <w:ind w:firstLine="992"/>
        <w:jc w:val="both"/>
        <w:spacing w:after="0" w:line="283" w:lineRule="atLeast"/>
        <w:tabs>
          <w:tab w:val="left" w:pos="426" w:leader="none"/>
        </w:tabs>
        <w:rPr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zh-CN"/>
        </w:rPr>
        <w:t xml:space="preserve">- медицинским  организациям – 126,4тыс. рублей; </w:t>
      </w:r>
      <w:r>
        <w:rPr>
          <w:highlight w:val="white"/>
        </w:rPr>
      </w:r>
      <w:r>
        <w:rPr>
          <w:highlight w:val="white"/>
        </w:rPr>
      </w:r>
    </w:p>
    <w:p>
      <w:pPr>
        <w:ind w:firstLine="992"/>
        <w:jc w:val="both"/>
        <w:spacing w:after="0" w:line="283" w:lineRule="atLeast"/>
        <w:tabs>
          <w:tab w:val="left" w:pos="426" w:leader="none"/>
        </w:tabs>
        <w:rPr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zh-CN"/>
        </w:rPr>
        <w:t xml:space="preserve">- страховым  медицинским организациям – 33,0 тыс. рублей, </w:t>
      </w:r>
      <w:r>
        <w:rPr>
          <w:highlight w:val="white"/>
        </w:rPr>
      </w:r>
      <w:r>
        <w:rPr>
          <w:highlight w:val="white"/>
        </w:rPr>
      </w:r>
    </w:p>
    <w:p>
      <w:pPr>
        <w:ind w:firstLine="850"/>
        <w:jc w:val="both"/>
        <w:spacing w:after="0" w:line="283" w:lineRule="atLeast"/>
        <w:rPr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Остаток задолженности по штрафам по результатам проверок по состоянию  на 01.01.2023 составлял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1 118,3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 тыс. рублей; </w:t>
      </w:r>
      <w:r>
        <w:rPr>
          <w:highlight w:val="white"/>
        </w:rPr>
      </w:r>
      <w:r>
        <w:rPr>
          <w:highlight w:val="white"/>
        </w:rPr>
      </w:r>
    </w:p>
    <w:p>
      <w:pPr>
        <w:ind w:left="-142" w:firstLine="992"/>
        <w:jc w:val="both"/>
        <w:spacing w:after="0" w:line="283" w:lineRule="atLeast"/>
        <w:rPr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Получено в отчетном периоде  штрафов на сумму 176,7 тыс. рублей.</w:t>
      </w:r>
      <w:r>
        <w:rPr>
          <w:highlight w:val="white"/>
        </w:rPr>
      </w:r>
      <w:r>
        <w:rPr>
          <w:highlight w:val="white"/>
        </w:rPr>
      </w:r>
    </w:p>
    <w:p>
      <w:pPr>
        <w:ind w:firstLine="850"/>
        <w:jc w:val="both"/>
        <w:spacing w:after="0" w:line="283" w:lineRule="atLeast"/>
        <w:rPr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Остаток задолженности по штрафам по результатам проверок по состоянию на 01.04.2023 составил 1 101,0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тыс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.р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ублей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.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83" w:lineRule="atLeast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Отсутствие внутреннего контроля объемов, сроков, качества и условий предоставления медицинской помощи влияет на образование финансовых потерь в медицинских организациях.</w:t>
      </w:r>
      <w:r>
        <w:rPr>
          <w:highlight w:val="white"/>
        </w:rPr>
      </w:r>
      <w:r>
        <w:rPr>
          <w:highlight w:val="white"/>
        </w:rPr>
      </w:r>
    </w:p>
    <w:p>
      <w:pPr>
        <w:contextualSpacing/>
        <w:ind w:firstLine="709"/>
        <w:jc w:val="both"/>
        <w:spacing w:after="0" w:line="283" w:lineRule="atLeast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По результатам проверок медицинских организаций финансовые потери в результате частичной или полной неоплаты медицинской помощи составили 17 264,4 тыс. рублей.</w:t>
      </w:r>
      <w:r>
        <w:rPr>
          <w:highlight w:val="white"/>
        </w:rPr>
      </w:r>
      <w:r>
        <w:rPr>
          <w:highlight w:val="white"/>
        </w:rPr>
      </w:r>
    </w:p>
    <w:p>
      <w:pPr>
        <w:contextualSpacing/>
        <w:ind w:firstLine="709"/>
        <w:jc w:val="both"/>
        <w:spacing w:after="0" w:line="283" w:lineRule="atLeast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ходе контрольных мероприятий в 1 квартале 2023 года были установлены нарушения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риведшие к неэффективному использованию средств ОМС на сумму 4 807,9 тыс. рублей:</w:t>
      </w:r>
      <w:r>
        <w:rPr>
          <w:highlight w:val="white"/>
        </w:rPr>
      </w:r>
      <w:r>
        <w:rPr>
          <w:highlight w:val="white"/>
        </w:rPr>
      </w:r>
    </w:p>
    <w:p>
      <w:pPr>
        <w:ind w:firstLine="992"/>
        <w:jc w:val="both"/>
        <w:spacing w:after="0" w:line="283" w:lineRule="atLeast"/>
        <w:tabs>
          <w:tab w:val="left" w:pos="426" w:leader="none"/>
        </w:tabs>
        <w:rPr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zh-CN"/>
        </w:rPr>
        <w:t xml:space="preserve">- в виде оплаты штрафных санкций по предписаниям страховых медицинских организаций по результатам медико-экономического контроля, медико-экономической экспертизы, экспертизы качества медицинской помощи – 4 491,1 тыс. рублей; </w:t>
      </w:r>
      <w:r>
        <w:rPr>
          <w:highlight w:val="white"/>
        </w:rPr>
      </w:r>
      <w:r>
        <w:rPr>
          <w:highlight w:val="white"/>
        </w:rPr>
      </w:r>
    </w:p>
    <w:p>
      <w:pPr>
        <w:ind w:left="0" w:right="0" w:firstLine="709"/>
        <w:jc w:val="both"/>
        <w:spacing w:after="0" w:line="283" w:lineRule="atLeast"/>
        <w:tabs>
          <w:tab w:val="left" w:pos="426" w:leader="none"/>
        </w:tabs>
        <w:rPr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zh-CN"/>
        </w:rPr>
        <w:t xml:space="preserve">- лекарственные средства с истекшим сроком годности, находящиеся в карантинной зоне или переданные на уничтожение – 316,8 тыс. рублей;</w:t>
      </w:r>
      <w:r>
        <w:rPr>
          <w:highlight w:val="white"/>
        </w:rPr>
      </w:r>
      <w:r>
        <w:rPr>
          <w:highlight w:val="white"/>
        </w:rPr>
      </w:r>
    </w:p>
    <w:p>
      <w:pPr>
        <w:ind w:firstLine="708"/>
        <w:jc w:val="both"/>
        <w:spacing w:after="0" w:line="283" w:lineRule="atLeast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 целью исключения случаев неэффективного использования  денежных средств ОМС административно-управленческому составу медицинских организаций необходимо: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83" w:lineRule="atLeast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-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целя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х недопущения штрафных санкций по предписаниям страховых медицинских организаций усилить внутренний контроль объемов, сроков, качества и условий предоставления медицинской помощи;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83" w:lineRule="atLeast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- контролировать качество формирования заявок на медикаменты, химические реактивы и расходные материалы;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83" w:lineRule="atLeast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- осуществлять в постоянном реж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име контроль учета медикаментов, химических реактивов и расходных материалов и использовать эти данные для формирования рациональных запасов медикаментов, а также своевременно принимать меры по реализации лекарственных средств с истекающим сроком годности.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83" w:lineRule="atLeast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Выявленные при проверках нарушения приводят к временному отвлечению средств обязательного медицинского страхования, снижению финансовой устойчивости и образованию кредиторской задолженности в медицинских организациях. 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83" w:lineRule="atLeast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Исключение в медицинских организациях фактов нецелевого и неэффективного использования средств ОМС является дополнительным источником для своевременных расчетов с поставщиками за материальные ценности, и как следствие - снижению кредиторской задолженности.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83" w:lineRule="atLeast"/>
        <w:shd w:val="clear" w:color="auto" w:fill="ffffff"/>
        <w:rPr>
          <w:rFonts w:ascii="Times New Roman" w:hAnsi="Times New Roman" w:eastAsia="Times New Roman" w:cs="Times New Roman"/>
          <w:color w:val="ff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zh-CN"/>
        </w:rPr>
        <w:t xml:space="preserve">В целях недопущения неэффективного и нецелевого использования средств обязательного медицинского страхования по итогам проверок медицинским организациям рекомендовано осуществлять внутренний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zh-CN"/>
        </w:rPr>
        <w:t xml:space="preserve">контроль за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zh-CN"/>
        </w:rPr>
        <w:t xml:space="preserve"> соблюдением финансово-хозяйственной деятельности в соответствии с требованиями, установленными законодательством Российской  Федерации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zh-CN"/>
        </w:rPr>
        <w:t xml:space="preserve">.</w:t>
      </w:r>
      <w:r>
        <w:rPr>
          <w:highlight w:val="white"/>
        </w:rPr>
      </w:r>
      <w:r>
        <w:rPr>
          <w:rFonts w:ascii="Times New Roman" w:hAnsi="Times New Roman" w:eastAsia="Times New Roman" w:cs="Times New Roman"/>
          <w:color w:val="ff0000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  <w:lang w:val="ru-RU"/>
        </w:rPr>
      </w:r>
      <w:r>
        <w:rPr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  <w:lang w:val="ru-RU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Просроченная кредиторская задолженность государственных медицинских организаций перед поставщиками за поставленные материальные ценности и оказанные услуги в течение </w:t>
      </w:r>
      <w:r>
        <w:rPr>
          <w:rFonts w:ascii="Times New Roman" w:hAnsi="Times New Roman" w:cs="Times New Roman"/>
          <w:sz w:val="28"/>
          <w:szCs w:val="28"/>
          <w:highlight w:val="white"/>
          <w:lang w:val="en-US"/>
        </w:rPr>
        <w:t xml:space="preserve">I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квартала увеличилась на 44 % и на 01.04.2023 года составила 48 732,5 тыс. рублей, на 01.01.2023 года она составляла 33 741,1 тыс. рублей.</w:t>
      </w:r>
      <w:r>
        <w:rPr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0"/>
        <w:jc w:val="both"/>
        <w:spacing w:after="0" w:line="240" w:lineRule="auto"/>
        <w:widowControl w:val="off"/>
        <w:rPr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 рамках контроля объемов, сроков, качества и условий оказания медицин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ской помощи, оказанной медицинскими организациями Липецкой области, спе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циалистами СМО в отчетном периоде проводи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лись экспертные мероприятия в соответствии с действующими нормативными ак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тами.</w:t>
      </w:r>
      <w:r>
        <w:rPr>
          <w:highlight w:val="white"/>
        </w:rPr>
      </w:r>
      <w:r>
        <w:rPr>
          <w:highlight w:val="white"/>
        </w:rPr>
      </w:r>
    </w:p>
    <w:p>
      <w:pPr>
        <w:ind w:firstLine="700"/>
        <w:jc w:val="both"/>
        <w:spacing w:after="0" w:line="240" w:lineRule="auto"/>
        <w:widowControl w:val="off"/>
        <w:rPr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За период январь-март 2023 года подвергнуто экспертизам 65,3 тыс. страховых случаев медицинской помощи, оказанных гражданам, застрахованным на территории Липецкой области, в том числе в ходе плановых проверок 9,3 тыс.</w:t>
      </w:r>
      <w:r>
        <w:rPr>
          <w:highlight w:val="white"/>
        </w:rPr>
      </w:r>
      <w:r>
        <w:rPr>
          <w:highlight w:val="white"/>
        </w:rPr>
      </w:r>
    </w:p>
    <w:p>
      <w:pPr>
        <w:ind w:firstLine="700"/>
        <w:jc w:val="both"/>
        <w:spacing w:after="0" w:line="240" w:lineRule="auto"/>
        <w:widowControl w:val="off"/>
        <w:rPr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При проведении медико-экономических экспертиз (МЭЭ) за январь-март 2023 года было проанализировано 57,4 тыс. случаев оказания медицинской помощи, в том числе при целевых проверках 50,6 тыс. случаев. </w:t>
      </w:r>
      <w:r>
        <w:rPr>
          <w:highlight w:val="white"/>
        </w:rPr>
      </w:r>
      <w:r>
        <w:rPr>
          <w:highlight w:val="white"/>
        </w:rPr>
      </w:r>
    </w:p>
    <w:p>
      <w:pPr>
        <w:ind w:firstLine="700"/>
        <w:jc w:val="both"/>
        <w:spacing w:after="0" w:line="240" w:lineRule="auto"/>
        <w:widowControl w:val="off"/>
        <w:rPr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 результате МЭЭ были установлены 8,3 тыс. нарушений (15%), отмечается увеличение количества дефектов в сравнении с аналогичным периодом 2022 года, когда  данный по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казатель составлял 9% (в 2021 - 18%). </w:t>
      </w:r>
      <w:r>
        <w:rPr>
          <w:highlight w:val="white"/>
        </w:rPr>
      </w:r>
      <w:r>
        <w:rPr>
          <w:highlight w:val="white"/>
        </w:rPr>
      </w:r>
    </w:p>
    <w:p>
      <w:pPr>
        <w:ind w:firstLine="700"/>
        <w:jc w:val="both"/>
        <w:spacing w:after="0" w:line="240" w:lineRule="auto"/>
        <w:widowControl w:val="off"/>
        <w:rPr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Количество нарушений по причине «непредставление первичной медицинской документации, подтверждающей факт оказания ЗЛ медицинской помощи», составило – 3 972 или 48% от общего количества нарушений.</w:t>
      </w:r>
      <w:r>
        <w:rPr>
          <w:highlight w:val="white"/>
        </w:rPr>
      </w:r>
      <w:r>
        <w:rPr>
          <w:highlight w:val="white"/>
        </w:rPr>
      </w:r>
    </w:p>
    <w:p>
      <w:pPr>
        <w:ind w:firstLine="700"/>
        <w:jc w:val="both"/>
        <w:spacing w:after="0" w:line="240" w:lineRule="auto"/>
        <w:widowControl w:val="off"/>
        <w:rPr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Количество нарушений по причине «несоответствие данных первичной медицинской документации данным реестра счетов»,  составило – 1 006 или 12% от общего количества нарушений.</w:t>
      </w:r>
      <w:r>
        <w:rPr>
          <w:highlight w:val="white"/>
        </w:rPr>
      </w:r>
      <w:r>
        <w:rPr>
          <w:highlight w:val="white"/>
        </w:rPr>
      </w:r>
    </w:p>
    <w:p>
      <w:pPr>
        <w:ind w:firstLine="700"/>
        <w:jc w:val="both"/>
        <w:spacing w:after="0" w:line="240" w:lineRule="auto"/>
        <w:widowControl w:val="off"/>
        <w:rPr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Количество нарушений по причине «отсутствие в документации информированного добровольного согласия застрахованного лица на медицинское вмешательство»,  составило – 2 063 или 25% от общего количества нарушений.</w:t>
      </w:r>
      <w:r>
        <w:rPr>
          <w:highlight w:val="white"/>
        </w:rPr>
      </w:r>
      <w:r>
        <w:rPr>
          <w:highlight w:val="white"/>
        </w:rPr>
      </w:r>
    </w:p>
    <w:p>
      <w:pPr>
        <w:ind w:firstLine="700"/>
        <w:jc w:val="both"/>
        <w:spacing w:after="0" w:line="240" w:lineRule="auto"/>
        <w:widowControl w:val="off"/>
        <w:rPr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 ходе экспертиз  качества медицинской помощи (ЭКМП)  было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проанализировано 7,9 тыс. слу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чаев оказания медицинской помощи, в том числе при целевых проверках – 5,4 тыс. случаев.</w:t>
      </w:r>
      <w:r>
        <w:rPr>
          <w:highlight w:val="white"/>
        </w:rPr>
      </w:r>
      <w:r>
        <w:rPr>
          <w:highlight w:val="white"/>
        </w:rPr>
      </w:r>
    </w:p>
    <w:p>
      <w:pPr>
        <w:ind w:firstLine="700"/>
        <w:jc w:val="both"/>
        <w:spacing w:after="0" w:line="240" w:lineRule="auto"/>
        <w:widowControl w:val="off"/>
        <w:rPr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 результате ЭКМП были установлены 2,3 тыс. нарушений (29%), отме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чается увеличение в сравнении с аналогичным периодом 2022 года, когда данный показатель составлял 27%.</w:t>
      </w:r>
      <w:r>
        <w:rPr>
          <w:highlight w:val="white"/>
        </w:rPr>
      </w:r>
      <w:r>
        <w:rPr>
          <w:highlight w:val="white"/>
        </w:rPr>
      </w:r>
    </w:p>
    <w:p>
      <w:pPr>
        <w:ind w:firstLine="700"/>
        <w:jc w:val="both"/>
        <w:spacing w:after="0" w:line="240" w:lineRule="auto"/>
        <w:widowControl w:val="off"/>
        <w:rPr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По итогам МЭЭ и ЭКМП к медицинским организациям применены финан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совые санкции в размере 31,5 млн. руб. (2022 год – 24,7 млн. руб.).</w:t>
      </w:r>
      <w:r>
        <w:rPr>
          <w:highlight w:val="white"/>
        </w:rPr>
      </w:r>
      <w:r>
        <w:rPr>
          <w:highlight w:val="white"/>
        </w:rPr>
      </w:r>
    </w:p>
    <w:p>
      <w:pPr>
        <w:ind w:firstLine="570"/>
        <w:jc w:val="both"/>
        <w:spacing w:after="0" w:line="283" w:lineRule="atLeast"/>
        <w:widowControl w:val="off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  <w:lang w:val="en-US"/>
        </w:rPr>
        <w:t xml:space="preserve">I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квартале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202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3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год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проведено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35 794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контрольно-экспертных мероприятия по случаям оказания медицинской помощи пациентам с подозрением на злокачественные новообразования (ЗНО) и/или с подтвержденным диагнозом ЗНО, в том числе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35 604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медико-экономического контроля,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185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медико-экономических экспертиз,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5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экспертиз качества медицинской помощи. По результатам контрольно-экспертных мероприятий выявлено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4 167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дефектов, в том числе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1 377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по страховым случаям с применением химиотерапии.</w:t>
      </w:r>
      <w:r>
        <w:rPr>
          <w:highlight w:val="white"/>
        </w:rPr>
      </w:r>
      <w:r>
        <w:rPr>
          <w:highlight w:val="white"/>
        </w:rPr>
      </w:r>
    </w:p>
    <w:p>
      <w:pPr>
        <w:ind w:firstLine="570"/>
        <w:jc w:val="both"/>
        <w:spacing w:after="0" w:line="240" w:lineRule="auto"/>
        <w:widowControl w:val="off"/>
        <w:rPr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За период  январь-март 2023 года специалистами ТФОМС Липецкой об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ласти и экспертами качества медицинской помощи, входящими в реестр экспер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тов качества медицинской помощи, привлекаемыми на договорной основе, прово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дились повторные медико-экономические экспертизы и  экспертизы качества медицинской помощи.</w:t>
      </w:r>
      <w:r>
        <w:rPr>
          <w:highlight w:val="white"/>
        </w:rPr>
      </w:r>
      <w:r>
        <w:rPr>
          <w:highlight w:val="white"/>
        </w:rPr>
      </w:r>
    </w:p>
    <w:p>
      <w:pPr>
        <w:ind w:firstLine="570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 w:eastAsia="Calibri" w:cs="Times New Roman"/>
          <w:sz w:val="28"/>
          <w:szCs w:val="28"/>
          <w:highlight w:val="white"/>
        </w:rPr>
        <w:t xml:space="preserve">Количество страховы</w:t>
      </w:r>
      <w:r>
        <w:rPr>
          <w:rFonts w:ascii="Times New Roman" w:hAnsi="Times New Roman" w:eastAsia="Calibri" w:cs="Times New Roman"/>
          <w:sz w:val="28"/>
          <w:szCs w:val="28"/>
          <w:highlight w:val="white"/>
        </w:rPr>
        <w:t xml:space="preserve">х случаев, подвергшихся повторной МЭЭ,  составило 772, количество страховых случаев, подвергшихся повторной ЭКМП, составило 584, что соответствует требованиям приказа ФФОМС от 19.03.2021 №231н «Об утверждении Порядка проведения контроля объемов, сроков, ка</w:t>
      </w:r>
      <w:r>
        <w:rPr>
          <w:rFonts w:ascii="Times New Roman" w:hAnsi="Times New Roman" w:eastAsia="Calibri" w:cs="Times New Roman"/>
          <w:sz w:val="28"/>
          <w:szCs w:val="28"/>
          <w:highlight w:val="white"/>
        </w:rPr>
        <w:t xml:space="preserve">чества и условий предоставления медицинской помощи по обязательному медицинскому страхованию, а также ее финансового обеспечения».</w:t>
      </w:r>
      <w:r>
        <w:rPr>
          <w:highlight w:val="white"/>
        </w:rPr>
      </w:r>
      <w:r>
        <w:rPr>
          <w:highlight w:val="white"/>
        </w:rPr>
      </w:r>
    </w:p>
    <w:p>
      <w:pPr>
        <w:ind w:firstLine="360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highlight w:val="white"/>
          <w:lang w:eastAsia="ru-RU"/>
        </w:rPr>
        <w:t xml:space="preserve">Установлены нарушения  в  49 случаях (3,6%),  допуще</w:t>
      </w:r>
      <w:r>
        <w:rPr>
          <w:rFonts w:ascii="Times New Roman" w:hAnsi="Times New Roman" w:eastAsia="Times New Roman" w:cs="Times New Roman"/>
          <w:bCs/>
          <w:sz w:val="28"/>
          <w:szCs w:val="28"/>
          <w:highlight w:val="white"/>
          <w:lang w:eastAsia="ru-RU"/>
        </w:rPr>
        <w:t xml:space="preserve">нные медицинскими организациями, но не выявленные  СМО при первичном проведении экспертиз.  По итогам  повторных экспертиз к СМО применены штрафные санкций в размере 11 517,86 рублей - 10% от суммы, необоснованно оплаченной   медицинским организациям.</w:t>
      </w:r>
      <w:r>
        <w:rPr>
          <w:rFonts w:ascii="Times New Roman" w:hAnsi="Times New Roman" w:eastAsia="Times New Roman" w:cs="Times New Roman"/>
          <w:bCs/>
          <w:sz w:val="28"/>
          <w:szCs w:val="28"/>
          <w:highlight w:val="white"/>
          <w:lang w:eastAsia="ru-RU"/>
        </w:rPr>
        <w:t xml:space="preserve">  </w:t>
      </w:r>
      <w:r>
        <w:rPr>
          <w:highlight w:val="white"/>
        </w:rPr>
      </w:r>
      <w:r>
        <w:rPr>
          <w:highlight w:val="white"/>
        </w:rPr>
      </w:r>
    </w:p>
    <w:p>
      <w:pPr>
        <w:ind w:firstLine="700"/>
        <w:jc w:val="both"/>
        <w:spacing w:after="0" w:line="240" w:lineRule="auto"/>
        <w:widowControl w:val="off"/>
        <w:rPr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За январь-март 2023 года ТФОМС и СМО было рассмотрено 30 555 обраще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ний. В сравнении с аналогичным периодом 2022 года количество обращений увеличилось на 6,7 тыс.</w:t>
      </w:r>
      <w:r>
        <w:rPr>
          <w:highlight w:val="white"/>
        </w:rPr>
      </w:r>
      <w:r>
        <w:rPr>
          <w:highlight w:val="white"/>
        </w:rPr>
      </w:r>
    </w:p>
    <w:p>
      <w:pPr>
        <w:ind w:firstLine="700"/>
        <w:jc w:val="both"/>
        <w:spacing w:after="0" w:line="240" w:lineRule="auto"/>
        <w:widowControl w:val="off"/>
        <w:rPr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Всего обращений за разъяснениями, в том числе заявлений, 30 503, наибольшее количество по во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просам выбора и/или замены СМО, МО, врача и обеспечение выдачи полисов 27 202 или 90% от общего количества.</w:t>
      </w:r>
      <w:r>
        <w:rPr>
          <w:highlight w:val="white"/>
        </w:rPr>
      </w:r>
      <w:r>
        <w:rPr>
          <w:highlight w:val="white"/>
        </w:rPr>
      </w:r>
    </w:p>
    <w:p>
      <w:pPr>
        <w:ind w:firstLine="700"/>
        <w:jc w:val="both"/>
        <w:spacing w:after="0" w:line="240" w:lineRule="auto"/>
        <w:widowControl w:val="off"/>
        <w:rPr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За период январь-март 2023 года поступило 52 жалобы  или 0,1% от общего числа обращений; в 2022 году данный показатель 34 (0,1%).</w:t>
      </w:r>
      <w:r>
        <w:rPr>
          <w:highlight w:val="white"/>
        </w:rPr>
      </w:r>
      <w:r>
        <w:rPr>
          <w:highlight w:val="white"/>
        </w:rPr>
      </w:r>
    </w:p>
    <w:p>
      <w:pPr>
        <w:ind w:firstLine="700"/>
        <w:jc w:val="both"/>
        <w:spacing w:after="0" w:line="240" w:lineRule="auto"/>
        <w:widowControl w:val="off"/>
        <w:rPr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Все жалобы рассмотрены в досудебном порядке, в установленные законом сроки, обоснованными признано 32 (62%), за аналогичный период  2022 года  20 жалоб (59%) были признаны обоснованными.</w:t>
      </w:r>
      <w:r>
        <w:rPr>
          <w:highlight w:val="white"/>
        </w:rPr>
      </w:r>
      <w:r>
        <w:rPr>
          <w:highlight w:val="white"/>
        </w:rPr>
      </w:r>
    </w:p>
    <w:p>
      <w:pPr>
        <w:ind w:firstLine="700"/>
        <w:jc w:val="both"/>
        <w:spacing w:after="0" w:line="240" w:lineRule="auto"/>
        <w:widowControl w:val="off"/>
        <w:rPr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Структура обоснованных жалоб по причинам сложилась следующим обра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зом:</w:t>
      </w:r>
      <w:r>
        <w:rPr>
          <w:highlight w:val="white"/>
        </w:rPr>
      </w:r>
      <w:r>
        <w:rPr>
          <w:highlight w:val="white"/>
        </w:rPr>
      </w:r>
    </w:p>
    <w:p>
      <w:pPr>
        <w:numPr>
          <w:ilvl w:val="0"/>
          <w:numId w:val="9"/>
        </w:numPr>
        <w:jc w:val="both"/>
        <w:spacing w:after="0" w:line="240" w:lineRule="auto"/>
        <w:widowControl w:val="off"/>
        <w:tabs>
          <w:tab w:val="left" w:pos="195" w:leader="none"/>
        </w:tabs>
        <w:rPr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12 жалоб (38%)на организацию работы медицинских организаций;</w:t>
      </w:r>
      <w:r>
        <w:rPr>
          <w:highlight w:val="white"/>
        </w:rPr>
      </w:r>
      <w:r>
        <w:rPr>
          <w:highlight w:val="white"/>
        </w:rPr>
      </w:r>
    </w:p>
    <w:p>
      <w:pPr>
        <w:numPr>
          <w:ilvl w:val="0"/>
          <w:numId w:val="9"/>
        </w:numPr>
        <w:jc w:val="both"/>
        <w:spacing w:after="0" w:line="240" w:lineRule="auto"/>
        <w:widowControl w:val="off"/>
        <w:tabs>
          <w:tab w:val="left" w:pos="195" w:leader="none"/>
        </w:tabs>
        <w:rPr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10 жалоб (31%) на качество медицинской помощи;</w:t>
      </w:r>
      <w:r>
        <w:rPr>
          <w:highlight w:val="white"/>
        </w:rPr>
      </w:r>
      <w:r>
        <w:rPr>
          <w:highlight w:val="white"/>
        </w:rPr>
      </w:r>
    </w:p>
    <w:p>
      <w:pPr>
        <w:numPr>
          <w:ilvl w:val="0"/>
          <w:numId w:val="9"/>
        </w:numPr>
        <w:jc w:val="both"/>
        <w:spacing w:after="0" w:line="240" w:lineRule="auto"/>
        <w:widowControl w:val="off"/>
        <w:tabs>
          <w:tab w:val="left" w:pos="195" w:leader="none"/>
        </w:tabs>
        <w:rPr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2 жалобы (6%) на отказ в оказании медицинской помощи;</w:t>
      </w:r>
      <w:r>
        <w:rPr>
          <w:highlight w:val="white"/>
        </w:rPr>
      </w:r>
      <w:r>
        <w:rPr>
          <w:highlight w:val="white"/>
        </w:rPr>
      </w:r>
    </w:p>
    <w:p>
      <w:pPr>
        <w:numPr>
          <w:ilvl w:val="0"/>
          <w:numId w:val="9"/>
        </w:numPr>
        <w:jc w:val="both"/>
        <w:spacing w:after="0" w:line="240" w:lineRule="auto"/>
        <w:widowControl w:val="off"/>
        <w:tabs>
          <w:tab w:val="left" w:pos="195" w:leader="none"/>
        </w:tabs>
        <w:rPr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6 жалоб (19%) на недостоверные сведения об оказанных медицинских услугах;</w:t>
      </w:r>
      <w:r>
        <w:rPr>
          <w:highlight w:val="white"/>
        </w:rPr>
      </w:r>
      <w:r>
        <w:rPr>
          <w:highlight w:val="white"/>
        </w:rPr>
      </w:r>
    </w:p>
    <w:p>
      <w:pPr>
        <w:numPr>
          <w:ilvl w:val="0"/>
          <w:numId w:val="9"/>
        </w:numPr>
        <w:jc w:val="both"/>
        <w:spacing w:after="0" w:line="240" w:lineRule="auto"/>
        <w:widowControl w:val="off"/>
        <w:tabs>
          <w:tab w:val="left" w:pos="195" w:leader="none"/>
        </w:tabs>
        <w:rPr>
          <w:rFonts w:ascii="Times New Roman" w:hAnsi="Times New Roman" w:eastAsia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2 жалобы (6%) - другие причины обоснованных жалоб.</w:t>
      </w:r>
      <w:r>
        <w:rPr>
          <w:highlight w:val="white"/>
        </w:rPr>
      </w:r>
      <w:r>
        <w:rPr>
          <w:rFonts w:ascii="Times New Roman" w:hAnsi="Times New Roman" w:eastAsia="Times New Roman" w:cs="Times New Roman"/>
          <w:highlight w:val="white"/>
        </w:rPr>
      </w:r>
    </w:p>
    <w:p>
      <w:pPr>
        <w:pStyle w:val="871"/>
        <w:ind w:left="0" w:firstLine="0"/>
        <w:spacing w:before="0" w:after="0" w:afterAutospacing="0" w:line="283" w:lineRule="atLeast"/>
        <w:shd w:val="clear" w:color="auto" w:fill="auto"/>
        <w:tabs>
          <w:tab w:val="left" w:pos="195" w:leader="none"/>
        </w:tabs>
        <w:rPr>
          <w:highlight w:val="white"/>
        </w:rPr>
      </w:pPr>
      <w:r>
        <w:rPr>
          <w:highlight w:val="white"/>
          <w:lang w:val="ru-RU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871"/>
        <w:ind w:firstLine="700"/>
        <w:spacing w:before="0" w:after="0" w:afterAutospacing="0" w:line="283" w:lineRule="atLeast"/>
        <w:shd w:val="clear" w:color="auto" w:fill="auto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  <w:lang w:val="ru-RU"/>
        </w:rPr>
        <w:tab/>
        <w:t xml:space="preserve">С августа 2022 года страховыми медицинскими организациями в соответствии с требованиями приказа Минздрава России от 19.07.2022 № 495 «Об утверждении методики расчета дополнительного показателя «Оценка общ</w:t>
      </w:r>
      <w:r>
        <w:rPr>
          <w:sz w:val="28"/>
          <w:szCs w:val="28"/>
          <w:highlight w:val="white"/>
          <w:lang w:val="ru-RU"/>
        </w:rPr>
        <w:t xml:space="preserve">ественного мнения по удовлетворенности населения медицинской помощью, %» федерального проекта «Модернизация первичного звена Российской Федерации» ежемесячно проводится опрос населения по удовлетворенности населения медицинской помощью. Процент удовлетворе</w:t>
      </w:r>
      <w:r>
        <w:rPr>
          <w:sz w:val="28"/>
          <w:szCs w:val="28"/>
          <w:highlight w:val="white"/>
          <w:lang w:val="ru-RU"/>
        </w:rPr>
        <w:t xml:space="preserve">нности по каждому месяцу выше планового показателя, за 1 квартал 2023 он составил 48,3%.</w:t>
      </w:r>
      <w:r>
        <w:rPr>
          <w:highlight w:val="white"/>
        </w:rPr>
      </w:r>
      <w:r>
        <w:rPr>
          <w:sz w:val="28"/>
          <w:szCs w:val="28"/>
          <w:highlight w:val="white"/>
        </w:rPr>
      </w:r>
    </w:p>
    <w:p>
      <w:pPr>
        <w:jc w:val="both"/>
        <w:spacing w:after="120" w:line="283" w:lineRule="atLeast"/>
        <w:widowControl w:val="off"/>
        <w:tabs>
          <w:tab w:val="left" w:pos="720" w:leader="none"/>
        </w:tabs>
        <w:rPr>
          <w:rFonts w:ascii="Times New Roman" w:hAnsi="Times New Roman" w:eastAsia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/>
          <w:sz w:val="28"/>
          <w:szCs w:val="28"/>
          <w:highlight w:val="white"/>
          <w:lang w:val="ru-RU" w:eastAsia="ru-RU"/>
        </w:rPr>
        <w:tab/>
      </w:r>
      <w:r>
        <w:rPr>
          <w:highlight w:val="white"/>
        </w:rPr>
      </w:r>
      <w:r>
        <w:rPr>
          <w:rFonts w:ascii="Times New Roman" w:hAnsi="Times New Roman" w:eastAsia="Times New Roman"/>
          <w:sz w:val="28"/>
          <w:szCs w:val="28"/>
          <w:highlight w:val="white"/>
        </w:rPr>
      </w:r>
    </w:p>
    <w:sectPr>
      <w:footnotePr/>
      <w:endnotePr/>
      <w:type w:val="nextPage"/>
      <w:pgSz w:w="11906" w:h="16838" w:orient="portrait"/>
      <w:pgMar w:top="709" w:right="850" w:bottom="709" w:left="1418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Wingdings">
    <w:panose1 w:val="05010000000000000000"/>
  </w:font>
  <w:font w:name="Symbol">
    <w:panose1 w:val="05010000000000000000"/>
  </w:font>
  <w:font w:name="Courier New">
    <w:panose1 w:val="020703090202050204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7"/>
      <w:numFmt w:val="decimal"/>
      <w:isLgl w:val="false"/>
      <w:suff w:val="tab"/>
      <w:lvlText w:val="%1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  <w:lang w:val="ru-RU"/>
      </w:r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  <w:lang w:val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4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  <w:lang w:val="ru-RU"/>
      </w:r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2"/>
  </w:num>
  <w:num w:numId="7">
    <w:abstractNumId w:val="1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0" w:default="1">
    <w:name w:val="Normal"/>
    <w:qFormat/>
  </w:style>
  <w:style w:type="paragraph" w:styleId="671">
    <w:name w:val="Heading 1"/>
    <w:basedOn w:val="670"/>
    <w:next w:val="670"/>
    <w:link w:val="699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72">
    <w:name w:val="Heading 2"/>
    <w:basedOn w:val="670"/>
    <w:next w:val="670"/>
    <w:link w:val="875"/>
    <w:uiPriority w:val="9"/>
    <w:unhideWhenUsed/>
    <w:qFormat/>
    <w:pPr>
      <w:keepLines/>
      <w:keepNext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673">
    <w:name w:val="Heading 3"/>
    <w:basedOn w:val="670"/>
    <w:next w:val="670"/>
    <w:link w:val="701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74">
    <w:name w:val="Heading 4"/>
    <w:basedOn w:val="670"/>
    <w:next w:val="670"/>
    <w:link w:val="702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75">
    <w:name w:val="Heading 5"/>
    <w:basedOn w:val="670"/>
    <w:next w:val="670"/>
    <w:link w:val="703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76">
    <w:name w:val="Heading 6"/>
    <w:basedOn w:val="670"/>
    <w:next w:val="670"/>
    <w:link w:val="704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77">
    <w:name w:val="Heading 7"/>
    <w:basedOn w:val="670"/>
    <w:next w:val="670"/>
    <w:link w:val="705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78">
    <w:name w:val="Heading 8"/>
    <w:basedOn w:val="670"/>
    <w:next w:val="670"/>
    <w:link w:val="706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79">
    <w:name w:val="Heading 9"/>
    <w:basedOn w:val="670"/>
    <w:next w:val="670"/>
    <w:link w:val="707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0" w:default="1">
    <w:name w:val="Default Paragraph Font"/>
    <w:uiPriority w:val="1"/>
    <w:semiHidden/>
    <w:unhideWhenUsed/>
  </w:style>
  <w:style w:type="table" w:styleId="68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2" w:default="1">
    <w:name w:val="No List"/>
    <w:uiPriority w:val="99"/>
    <w:semiHidden/>
    <w:unhideWhenUsed/>
  </w:style>
  <w:style w:type="character" w:styleId="683" w:customStyle="1">
    <w:name w:val="Heading 1 Char"/>
    <w:basedOn w:val="680"/>
    <w:uiPriority w:val="9"/>
    <w:rPr>
      <w:rFonts w:ascii="Arial" w:hAnsi="Arial" w:eastAsia="Arial" w:cs="Arial"/>
      <w:sz w:val="40"/>
      <w:szCs w:val="40"/>
    </w:rPr>
  </w:style>
  <w:style w:type="character" w:styleId="684" w:customStyle="1">
    <w:name w:val="Heading 3 Char"/>
    <w:basedOn w:val="680"/>
    <w:uiPriority w:val="9"/>
    <w:rPr>
      <w:rFonts w:ascii="Arial" w:hAnsi="Arial" w:eastAsia="Arial" w:cs="Arial"/>
      <w:sz w:val="30"/>
      <w:szCs w:val="30"/>
    </w:rPr>
  </w:style>
  <w:style w:type="character" w:styleId="685" w:customStyle="1">
    <w:name w:val="Heading 4 Char"/>
    <w:basedOn w:val="680"/>
    <w:uiPriority w:val="9"/>
    <w:rPr>
      <w:rFonts w:ascii="Arial" w:hAnsi="Arial" w:eastAsia="Arial" w:cs="Arial"/>
      <w:b/>
      <w:bCs/>
      <w:sz w:val="26"/>
      <w:szCs w:val="26"/>
    </w:rPr>
  </w:style>
  <w:style w:type="character" w:styleId="686" w:customStyle="1">
    <w:name w:val="Heading 5 Char"/>
    <w:basedOn w:val="680"/>
    <w:uiPriority w:val="9"/>
    <w:rPr>
      <w:rFonts w:ascii="Arial" w:hAnsi="Arial" w:eastAsia="Arial" w:cs="Arial"/>
      <w:b/>
      <w:bCs/>
      <w:sz w:val="24"/>
      <w:szCs w:val="24"/>
    </w:rPr>
  </w:style>
  <w:style w:type="character" w:styleId="687" w:customStyle="1">
    <w:name w:val="Heading 6 Char"/>
    <w:basedOn w:val="680"/>
    <w:uiPriority w:val="9"/>
    <w:rPr>
      <w:rFonts w:ascii="Arial" w:hAnsi="Arial" w:eastAsia="Arial" w:cs="Arial"/>
      <w:b/>
      <w:bCs/>
      <w:sz w:val="22"/>
      <w:szCs w:val="22"/>
    </w:rPr>
  </w:style>
  <w:style w:type="character" w:styleId="688" w:customStyle="1">
    <w:name w:val="Heading 7 Char"/>
    <w:basedOn w:val="68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89" w:customStyle="1">
    <w:name w:val="Heading 8 Char"/>
    <w:basedOn w:val="680"/>
    <w:uiPriority w:val="9"/>
    <w:rPr>
      <w:rFonts w:ascii="Arial" w:hAnsi="Arial" w:eastAsia="Arial" w:cs="Arial"/>
      <w:i/>
      <w:iCs/>
      <w:sz w:val="22"/>
      <w:szCs w:val="22"/>
    </w:rPr>
  </w:style>
  <w:style w:type="character" w:styleId="690" w:customStyle="1">
    <w:name w:val="Heading 9 Char"/>
    <w:basedOn w:val="680"/>
    <w:uiPriority w:val="9"/>
    <w:rPr>
      <w:rFonts w:ascii="Arial" w:hAnsi="Arial" w:eastAsia="Arial" w:cs="Arial"/>
      <w:i/>
      <w:iCs/>
      <w:sz w:val="21"/>
      <w:szCs w:val="21"/>
    </w:rPr>
  </w:style>
  <w:style w:type="character" w:styleId="691" w:customStyle="1">
    <w:name w:val="Title Char"/>
    <w:basedOn w:val="680"/>
    <w:uiPriority w:val="10"/>
    <w:rPr>
      <w:sz w:val="48"/>
      <w:szCs w:val="48"/>
    </w:rPr>
  </w:style>
  <w:style w:type="character" w:styleId="692" w:customStyle="1">
    <w:name w:val="Subtitle Char"/>
    <w:basedOn w:val="680"/>
    <w:uiPriority w:val="11"/>
    <w:rPr>
      <w:sz w:val="24"/>
      <w:szCs w:val="24"/>
    </w:rPr>
  </w:style>
  <w:style w:type="character" w:styleId="693" w:customStyle="1">
    <w:name w:val="Quote Char"/>
    <w:uiPriority w:val="29"/>
    <w:rPr>
      <w:i/>
    </w:rPr>
  </w:style>
  <w:style w:type="character" w:styleId="694" w:customStyle="1">
    <w:name w:val="Intense Quote Char"/>
    <w:uiPriority w:val="30"/>
    <w:rPr>
      <w:i/>
    </w:rPr>
  </w:style>
  <w:style w:type="character" w:styleId="695" w:customStyle="1">
    <w:name w:val="Header Char"/>
    <w:basedOn w:val="680"/>
    <w:uiPriority w:val="99"/>
  </w:style>
  <w:style w:type="character" w:styleId="696" w:customStyle="1">
    <w:name w:val="Caption Char"/>
    <w:uiPriority w:val="99"/>
  </w:style>
  <w:style w:type="character" w:styleId="697" w:customStyle="1">
    <w:name w:val="Footnote Text Char"/>
    <w:uiPriority w:val="99"/>
    <w:rPr>
      <w:sz w:val="18"/>
    </w:rPr>
  </w:style>
  <w:style w:type="character" w:styleId="698" w:customStyle="1">
    <w:name w:val="Endnote Text Char"/>
    <w:uiPriority w:val="99"/>
    <w:rPr>
      <w:sz w:val="20"/>
    </w:rPr>
  </w:style>
  <w:style w:type="character" w:styleId="699" w:customStyle="1">
    <w:name w:val="Заголовок 1 Знак"/>
    <w:basedOn w:val="680"/>
    <w:link w:val="671"/>
    <w:uiPriority w:val="9"/>
    <w:rPr>
      <w:rFonts w:ascii="Arial" w:hAnsi="Arial" w:eastAsia="Arial" w:cs="Arial"/>
      <w:sz w:val="40"/>
      <w:szCs w:val="40"/>
    </w:rPr>
  </w:style>
  <w:style w:type="character" w:styleId="700" w:customStyle="1">
    <w:name w:val="Heading 2 Char"/>
    <w:basedOn w:val="680"/>
    <w:uiPriority w:val="9"/>
    <w:rPr>
      <w:rFonts w:ascii="Arial" w:hAnsi="Arial" w:eastAsia="Arial" w:cs="Arial"/>
      <w:sz w:val="34"/>
    </w:rPr>
  </w:style>
  <w:style w:type="character" w:styleId="701" w:customStyle="1">
    <w:name w:val="Заголовок 3 Знак"/>
    <w:basedOn w:val="680"/>
    <w:link w:val="673"/>
    <w:uiPriority w:val="9"/>
    <w:rPr>
      <w:rFonts w:ascii="Arial" w:hAnsi="Arial" w:eastAsia="Arial" w:cs="Arial"/>
      <w:sz w:val="30"/>
      <w:szCs w:val="30"/>
    </w:rPr>
  </w:style>
  <w:style w:type="character" w:styleId="702" w:customStyle="1">
    <w:name w:val="Заголовок 4 Знак"/>
    <w:basedOn w:val="680"/>
    <w:link w:val="674"/>
    <w:uiPriority w:val="9"/>
    <w:rPr>
      <w:rFonts w:ascii="Arial" w:hAnsi="Arial" w:eastAsia="Arial" w:cs="Arial"/>
      <w:b/>
      <w:bCs/>
      <w:sz w:val="26"/>
      <w:szCs w:val="26"/>
    </w:rPr>
  </w:style>
  <w:style w:type="character" w:styleId="703" w:customStyle="1">
    <w:name w:val="Заголовок 5 Знак"/>
    <w:basedOn w:val="680"/>
    <w:link w:val="675"/>
    <w:uiPriority w:val="9"/>
    <w:rPr>
      <w:rFonts w:ascii="Arial" w:hAnsi="Arial" w:eastAsia="Arial" w:cs="Arial"/>
      <w:b/>
      <w:bCs/>
      <w:sz w:val="24"/>
      <w:szCs w:val="24"/>
    </w:rPr>
  </w:style>
  <w:style w:type="character" w:styleId="704" w:customStyle="1">
    <w:name w:val="Заголовок 6 Знак"/>
    <w:basedOn w:val="680"/>
    <w:link w:val="676"/>
    <w:uiPriority w:val="9"/>
    <w:rPr>
      <w:rFonts w:ascii="Arial" w:hAnsi="Arial" w:eastAsia="Arial" w:cs="Arial"/>
      <w:b/>
      <w:bCs/>
      <w:sz w:val="22"/>
      <w:szCs w:val="22"/>
    </w:rPr>
  </w:style>
  <w:style w:type="character" w:styleId="705" w:customStyle="1">
    <w:name w:val="Заголовок 7 Знак"/>
    <w:basedOn w:val="680"/>
    <w:link w:val="67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6" w:customStyle="1">
    <w:name w:val="Заголовок 8 Знак"/>
    <w:basedOn w:val="680"/>
    <w:link w:val="678"/>
    <w:uiPriority w:val="9"/>
    <w:rPr>
      <w:rFonts w:ascii="Arial" w:hAnsi="Arial" w:eastAsia="Arial" w:cs="Arial"/>
      <w:i/>
      <w:iCs/>
      <w:sz w:val="22"/>
      <w:szCs w:val="22"/>
    </w:rPr>
  </w:style>
  <w:style w:type="character" w:styleId="707" w:customStyle="1">
    <w:name w:val="Заголовок 9 Знак"/>
    <w:basedOn w:val="680"/>
    <w:link w:val="679"/>
    <w:uiPriority w:val="9"/>
    <w:rPr>
      <w:rFonts w:ascii="Arial" w:hAnsi="Arial" w:eastAsia="Arial" w:cs="Arial"/>
      <w:i/>
      <w:iCs/>
      <w:sz w:val="21"/>
      <w:szCs w:val="21"/>
    </w:rPr>
  </w:style>
  <w:style w:type="paragraph" w:styleId="708">
    <w:name w:val="Title"/>
    <w:basedOn w:val="670"/>
    <w:next w:val="670"/>
    <w:link w:val="709"/>
    <w:uiPriority w:val="10"/>
    <w:qFormat/>
    <w:pPr>
      <w:contextualSpacing/>
      <w:spacing w:before="300"/>
    </w:pPr>
    <w:rPr>
      <w:sz w:val="48"/>
      <w:szCs w:val="48"/>
    </w:rPr>
  </w:style>
  <w:style w:type="character" w:styleId="709" w:customStyle="1">
    <w:name w:val="Название Знак"/>
    <w:basedOn w:val="680"/>
    <w:link w:val="708"/>
    <w:uiPriority w:val="10"/>
    <w:rPr>
      <w:sz w:val="48"/>
      <w:szCs w:val="48"/>
    </w:rPr>
  </w:style>
  <w:style w:type="paragraph" w:styleId="710">
    <w:name w:val="Subtitle"/>
    <w:basedOn w:val="670"/>
    <w:next w:val="670"/>
    <w:link w:val="711"/>
    <w:uiPriority w:val="11"/>
    <w:qFormat/>
    <w:pPr>
      <w:spacing w:before="200"/>
    </w:pPr>
    <w:rPr>
      <w:sz w:val="24"/>
      <w:szCs w:val="24"/>
    </w:rPr>
  </w:style>
  <w:style w:type="character" w:styleId="711" w:customStyle="1">
    <w:name w:val="Подзаголовок Знак"/>
    <w:basedOn w:val="680"/>
    <w:link w:val="710"/>
    <w:uiPriority w:val="11"/>
    <w:rPr>
      <w:sz w:val="24"/>
      <w:szCs w:val="24"/>
    </w:rPr>
  </w:style>
  <w:style w:type="paragraph" w:styleId="712">
    <w:name w:val="Quote"/>
    <w:basedOn w:val="670"/>
    <w:next w:val="670"/>
    <w:link w:val="713"/>
    <w:uiPriority w:val="29"/>
    <w:qFormat/>
    <w:pPr>
      <w:ind w:left="720" w:right="720"/>
    </w:pPr>
    <w:rPr>
      <w:i/>
    </w:rPr>
  </w:style>
  <w:style w:type="character" w:styleId="713" w:customStyle="1">
    <w:name w:val="Цитата 2 Знак"/>
    <w:link w:val="712"/>
    <w:uiPriority w:val="29"/>
    <w:rPr>
      <w:i/>
    </w:rPr>
  </w:style>
  <w:style w:type="paragraph" w:styleId="714">
    <w:name w:val="Intense Quote"/>
    <w:basedOn w:val="670"/>
    <w:next w:val="670"/>
    <w:link w:val="715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5" w:customStyle="1">
    <w:name w:val="Выделенная цитата Знак"/>
    <w:link w:val="714"/>
    <w:uiPriority w:val="30"/>
    <w:rPr>
      <w:i/>
    </w:rPr>
  </w:style>
  <w:style w:type="paragraph" w:styleId="716">
    <w:name w:val="Header"/>
    <w:basedOn w:val="670"/>
    <w:link w:val="71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7" w:customStyle="1">
    <w:name w:val="Верхний колонтитул Знак"/>
    <w:basedOn w:val="680"/>
    <w:link w:val="716"/>
    <w:uiPriority w:val="99"/>
  </w:style>
  <w:style w:type="paragraph" w:styleId="718">
    <w:name w:val="Footer"/>
    <w:basedOn w:val="670"/>
    <w:link w:val="72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9" w:customStyle="1">
    <w:name w:val="Footer Char"/>
    <w:basedOn w:val="680"/>
    <w:uiPriority w:val="99"/>
  </w:style>
  <w:style w:type="paragraph" w:styleId="720">
    <w:name w:val="Caption"/>
    <w:basedOn w:val="670"/>
    <w:next w:val="67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21" w:customStyle="1">
    <w:name w:val="Нижний колонтитул Знак"/>
    <w:link w:val="718"/>
    <w:uiPriority w:val="99"/>
  </w:style>
  <w:style w:type="table" w:styleId="722">
    <w:name w:val="Table Grid"/>
    <w:basedOn w:val="68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3" w:customStyle="1">
    <w:name w:val="Table Grid Light"/>
    <w:basedOn w:val="681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4" w:customStyle="1">
    <w:name w:val="Plain Table 1"/>
    <w:basedOn w:val="681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5" w:customStyle="1">
    <w:name w:val="Plain Table 2"/>
    <w:basedOn w:val="68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6" w:customStyle="1">
    <w:name w:val="Plain Table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7" w:customStyle="1">
    <w:name w:val="Plain Table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 w:customStyle="1">
    <w:name w:val="Plain Table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9" w:customStyle="1">
    <w:name w:val="Grid Table 1 Light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 w:customStyle="1">
    <w:name w:val="Grid Table 1 Light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 w:customStyle="1">
    <w:name w:val="Grid Table 1 Light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 w:customStyle="1">
    <w:name w:val="Grid Table 1 Light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 w:customStyle="1">
    <w:name w:val="Grid Table 1 Light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 w:customStyle="1">
    <w:name w:val="Grid Table 1 Light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 w:customStyle="1">
    <w:name w:val="Grid Table 1 Light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 w:customStyle="1">
    <w:name w:val="Grid Table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2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2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2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2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2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2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3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3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3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3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3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3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4"/>
    <w:basedOn w:val="6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1" w:customStyle="1">
    <w:name w:val="Grid Table 4 - Accent 1"/>
    <w:basedOn w:val="6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52" w:customStyle="1">
    <w:name w:val="Grid Table 4 - Accent 2"/>
    <w:basedOn w:val="6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53" w:customStyle="1">
    <w:name w:val="Grid Table 4 - Accent 3"/>
    <w:basedOn w:val="6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54" w:customStyle="1">
    <w:name w:val="Grid Table 4 - Accent 4"/>
    <w:basedOn w:val="6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55" w:customStyle="1">
    <w:name w:val="Grid Table 4 - Accent 5"/>
    <w:basedOn w:val="6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56" w:customStyle="1">
    <w:name w:val="Grid Table 4 - Accent 6"/>
    <w:basedOn w:val="6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57" w:customStyle="1">
    <w:name w:val="Grid Table 5 Dark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58" w:customStyle="1">
    <w:name w:val="Grid Table 5 Dark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59" w:customStyle="1">
    <w:name w:val="Grid Table 5 Dark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60" w:customStyle="1">
    <w:name w:val="Grid Table 5 Dark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61" w:customStyle="1">
    <w:name w:val="Grid Table 5 Dark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62" w:customStyle="1">
    <w:name w:val="Grid Table 5 Dark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63" w:customStyle="1">
    <w:name w:val="Grid Table 5 Dark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64" w:customStyle="1">
    <w:name w:val="Grid Table 6 Colorful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5" w:customStyle="1">
    <w:name w:val="Grid Table 6 Colorful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66" w:customStyle="1">
    <w:name w:val="Grid Table 6 Colorful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67" w:customStyle="1">
    <w:name w:val="Grid Table 6 Colorful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68" w:customStyle="1">
    <w:name w:val="Grid Table 6 Colorful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69" w:customStyle="1">
    <w:name w:val="Grid Table 6 Colorful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0" w:customStyle="1">
    <w:name w:val="Grid Table 6 Colorful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1" w:customStyle="1">
    <w:name w:val="Grid Table 7 Colorful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2" w:customStyle="1">
    <w:name w:val="Grid Table 7 Colorful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3" w:customStyle="1">
    <w:name w:val="Grid Table 7 Colorful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4" w:customStyle="1">
    <w:name w:val="Grid Table 7 Colorful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5" w:customStyle="1">
    <w:name w:val="Grid Table 7 Colorful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6" w:customStyle="1">
    <w:name w:val="Grid Table 7 Colorful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7" w:customStyle="1">
    <w:name w:val="Grid Table 7 Colorful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8" w:customStyle="1">
    <w:name w:val="List Table 1 Light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List Table 1 Light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List Table 1 Light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List Table 1 Light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List Table 1 Light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List Table 1 Light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List Table 1 Light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List Table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86" w:customStyle="1">
    <w:name w:val="List Table 2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87" w:customStyle="1">
    <w:name w:val="List Table 2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88" w:customStyle="1">
    <w:name w:val="List Table 2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89" w:customStyle="1">
    <w:name w:val="List Table 2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90" w:customStyle="1">
    <w:name w:val="List Table 2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91" w:customStyle="1">
    <w:name w:val="List Table 2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92" w:customStyle="1">
    <w:name w:val="List Table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3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3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3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3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3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3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4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4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4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4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4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4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5 Dark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7" w:customStyle="1">
    <w:name w:val="List Table 5 Dark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8" w:customStyle="1">
    <w:name w:val="List Table 5 Dark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9" w:customStyle="1">
    <w:name w:val="List Table 5 Dark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0" w:customStyle="1">
    <w:name w:val="List Table 5 Dark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1" w:customStyle="1">
    <w:name w:val="List Table 5 Dark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2" w:customStyle="1">
    <w:name w:val="List Table 5 Dark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3" w:customStyle="1">
    <w:name w:val="List Table 6 Colorful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14" w:customStyle="1">
    <w:name w:val="List Table 6 Colorful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15" w:customStyle="1">
    <w:name w:val="List Table 6 Colorful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16" w:customStyle="1">
    <w:name w:val="List Table 6 Colorful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17" w:customStyle="1">
    <w:name w:val="List Table 6 Colorful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18" w:customStyle="1">
    <w:name w:val="List Table 6 Colorful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19" w:customStyle="1">
    <w:name w:val="List Table 6 Colorful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20" w:customStyle="1">
    <w:name w:val="List Table 7 Colorful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1" w:customStyle="1">
    <w:name w:val="List Table 7 Colorful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2" w:customStyle="1">
    <w:name w:val="List Table 7 Colorful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3" w:customStyle="1">
    <w:name w:val="List Table 7 Colorful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4" w:customStyle="1">
    <w:name w:val="List Table 7 Colorful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5" w:customStyle="1">
    <w:name w:val="List Table 7 Colorful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6" w:customStyle="1">
    <w:name w:val="List Table 7 Colorful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7" w:customStyle="1">
    <w:name w:val="Lined - Accent"/>
    <w:basedOn w:val="68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8" w:customStyle="1">
    <w:name w:val="Lined - Accent 1"/>
    <w:basedOn w:val="68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29" w:customStyle="1">
    <w:name w:val="Lined - Accent 2"/>
    <w:basedOn w:val="68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30" w:customStyle="1">
    <w:name w:val="Lined - Accent 3"/>
    <w:basedOn w:val="68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31" w:customStyle="1">
    <w:name w:val="Lined - Accent 4"/>
    <w:basedOn w:val="68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32" w:customStyle="1">
    <w:name w:val="Lined - Accent 5"/>
    <w:basedOn w:val="68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33" w:customStyle="1">
    <w:name w:val="Lined - Accent 6"/>
    <w:basedOn w:val="68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34" w:customStyle="1">
    <w:name w:val="Bordered &amp; Lined - Accent"/>
    <w:basedOn w:val="68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5" w:customStyle="1">
    <w:name w:val="Bordered &amp; Lined - Accent 1"/>
    <w:basedOn w:val="68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36" w:customStyle="1">
    <w:name w:val="Bordered &amp; Lined - Accent 2"/>
    <w:basedOn w:val="68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37" w:customStyle="1">
    <w:name w:val="Bordered &amp; Lined - Accent 3"/>
    <w:basedOn w:val="68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38" w:customStyle="1">
    <w:name w:val="Bordered &amp; Lined - Accent 4"/>
    <w:basedOn w:val="68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39" w:customStyle="1">
    <w:name w:val="Bordered &amp; Lined - Accent 5"/>
    <w:basedOn w:val="68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40" w:customStyle="1">
    <w:name w:val="Bordered &amp; Lined - Accent 6"/>
    <w:basedOn w:val="68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41" w:customStyle="1">
    <w:name w:val="Bordered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2" w:customStyle="1">
    <w:name w:val="Bordered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43" w:customStyle="1">
    <w:name w:val="Bordered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44" w:customStyle="1">
    <w:name w:val="Bordered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45" w:customStyle="1">
    <w:name w:val="Bordered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46" w:customStyle="1">
    <w:name w:val="Bordered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47" w:customStyle="1">
    <w:name w:val="Bordered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48">
    <w:name w:val="footnote text"/>
    <w:basedOn w:val="670"/>
    <w:link w:val="849"/>
    <w:uiPriority w:val="99"/>
    <w:semiHidden/>
    <w:unhideWhenUsed/>
    <w:pPr>
      <w:spacing w:after="40" w:line="240" w:lineRule="auto"/>
    </w:pPr>
    <w:rPr>
      <w:sz w:val="18"/>
    </w:rPr>
  </w:style>
  <w:style w:type="character" w:styleId="849" w:customStyle="1">
    <w:name w:val="Текст сноски Знак"/>
    <w:link w:val="848"/>
    <w:uiPriority w:val="99"/>
    <w:rPr>
      <w:sz w:val="18"/>
    </w:rPr>
  </w:style>
  <w:style w:type="character" w:styleId="850">
    <w:name w:val="footnote reference"/>
    <w:basedOn w:val="680"/>
    <w:uiPriority w:val="99"/>
    <w:unhideWhenUsed/>
    <w:rPr>
      <w:vertAlign w:val="superscript"/>
    </w:rPr>
  </w:style>
  <w:style w:type="paragraph" w:styleId="851">
    <w:name w:val="endnote text"/>
    <w:basedOn w:val="670"/>
    <w:link w:val="852"/>
    <w:uiPriority w:val="99"/>
    <w:semiHidden/>
    <w:unhideWhenUsed/>
    <w:pPr>
      <w:spacing w:after="0" w:line="240" w:lineRule="auto"/>
    </w:pPr>
    <w:rPr>
      <w:sz w:val="20"/>
    </w:rPr>
  </w:style>
  <w:style w:type="character" w:styleId="852" w:customStyle="1">
    <w:name w:val="Текст концевой сноски Знак"/>
    <w:link w:val="851"/>
    <w:uiPriority w:val="99"/>
    <w:rPr>
      <w:sz w:val="20"/>
    </w:rPr>
  </w:style>
  <w:style w:type="character" w:styleId="853">
    <w:name w:val="endnote reference"/>
    <w:basedOn w:val="680"/>
    <w:uiPriority w:val="99"/>
    <w:semiHidden/>
    <w:unhideWhenUsed/>
    <w:rPr>
      <w:vertAlign w:val="superscript"/>
    </w:rPr>
  </w:style>
  <w:style w:type="paragraph" w:styleId="854">
    <w:name w:val="toc 1"/>
    <w:basedOn w:val="670"/>
    <w:next w:val="670"/>
    <w:uiPriority w:val="39"/>
    <w:unhideWhenUsed/>
    <w:pPr>
      <w:spacing w:after="57"/>
    </w:pPr>
  </w:style>
  <w:style w:type="paragraph" w:styleId="855">
    <w:name w:val="toc 2"/>
    <w:basedOn w:val="670"/>
    <w:next w:val="670"/>
    <w:uiPriority w:val="39"/>
    <w:unhideWhenUsed/>
    <w:pPr>
      <w:ind w:left="283"/>
      <w:spacing w:after="57"/>
    </w:pPr>
  </w:style>
  <w:style w:type="paragraph" w:styleId="856">
    <w:name w:val="toc 3"/>
    <w:basedOn w:val="670"/>
    <w:next w:val="670"/>
    <w:uiPriority w:val="39"/>
    <w:unhideWhenUsed/>
    <w:pPr>
      <w:ind w:left="567"/>
      <w:spacing w:after="57"/>
    </w:pPr>
  </w:style>
  <w:style w:type="paragraph" w:styleId="857">
    <w:name w:val="toc 4"/>
    <w:basedOn w:val="670"/>
    <w:next w:val="670"/>
    <w:uiPriority w:val="39"/>
    <w:unhideWhenUsed/>
    <w:pPr>
      <w:ind w:left="850"/>
      <w:spacing w:after="57"/>
    </w:pPr>
  </w:style>
  <w:style w:type="paragraph" w:styleId="858">
    <w:name w:val="toc 5"/>
    <w:basedOn w:val="670"/>
    <w:next w:val="670"/>
    <w:uiPriority w:val="39"/>
    <w:unhideWhenUsed/>
    <w:pPr>
      <w:ind w:left="1134"/>
      <w:spacing w:after="57"/>
    </w:pPr>
  </w:style>
  <w:style w:type="paragraph" w:styleId="859">
    <w:name w:val="toc 6"/>
    <w:basedOn w:val="670"/>
    <w:next w:val="670"/>
    <w:uiPriority w:val="39"/>
    <w:unhideWhenUsed/>
    <w:pPr>
      <w:ind w:left="1417"/>
      <w:spacing w:after="57"/>
    </w:pPr>
  </w:style>
  <w:style w:type="paragraph" w:styleId="860">
    <w:name w:val="toc 7"/>
    <w:basedOn w:val="670"/>
    <w:next w:val="670"/>
    <w:uiPriority w:val="39"/>
    <w:unhideWhenUsed/>
    <w:pPr>
      <w:ind w:left="1701"/>
      <w:spacing w:after="57"/>
    </w:pPr>
  </w:style>
  <w:style w:type="paragraph" w:styleId="861">
    <w:name w:val="toc 8"/>
    <w:basedOn w:val="670"/>
    <w:next w:val="670"/>
    <w:uiPriority w:val="39"/>
    <w:unhideWhenUsed/>
    <w:pPr>
      <w:ind w:left="1984"/>
      <w:spacing w:after="57"/>
    </w:pPr>
  </w:style>
  <w:style w:type="paragraph" w:styleId="862">
    <w:name w:val="toc 9"/>
    <w:basedOn w:val="670"/>
    <w:next w:val="670"/>
    <w:uiPriority w:val="39"/>
    <w:unhideWhenUsed/>
    <w:pPr>
      <w:ind w:left="2268"/>
      <w:spacing w:after="57"/>
    </w:pPr>
  </w:style>
  <w:style w:type="paragraph" w:styleId="863">
    <w:name w:val="TOC Heading"/>
    <w:uiPriority w:val="39"/>
    <w:unhideWhenUsed/>
  </w:style>
  <w:style w:type="paragraph" w:styleId="864">
    <w:name w:val="table of figures"/>
    <w:basedOn w:val="670"/>
    <w:next w:val="670"/>
    <w:uiPriority w:val="99"/>
    <w:unhideWhenUsed/>
    <w:pPr>
      <w:spacing w:after="0"/>
    </w:pPr>
  </w:style>
  <w:style w:type="paragraph" w:styleId="865">
    <w:name w:val="Body Text"/>
    <w:basedOn w:val="670"/>
    <w:link w:val="866"/>
    <w:pPr>
      <w:spacing w:after="120" w:line="240" w:lineRule="auto"/>
      <w:widowControl w:val="off"/>
    </w:pPr>
    <w:rPr>
      <w:rFonts w:ascii="Times New Roman" w:hAnsi="Times New Roman" w:eastAsia="Times New Roman" w:cs="Times New Roman"/>
      <w:sz w:val="20"/>
      <w:szCs w:val="20"/>
    </w:rPr>
  </w:style>
  <w:style w:type="character" w:styleId="866" w:customStyle="1">
    <w:name w:val="Основной текст Знак"/>
    <w:basedOn w:val="680"/>
    <w:link w:val="865"/>
    <w:rPr>
      <w:rFonts w:ascii="Times New Roman" w:hAnsi="Times New Roman" w:eastAsia="Times New Roman" w:cs="Times New Roman"/>
      <w:sz w:val="20"/>
      <w:szCs w:val="20"/>
    </w:rPr>
  </w:style>
  <w:style w:type="paragraph" w:styleId="867">
    <w:name w:val="List Paragraph"/>
    <w:basedOn w:val="670"/>
    <w:uiPriority w:val="34"/>
    <w:qFormat/>
    <w:pPr>
      <w:contextualSpacing/>
      <w:ind w:left="720"/>
    </w:pPr>
  </w:style>
  <w:style w:type="paragraph" w:styleId="868">
    <w:name w:val="Balloon Text"/>
    <w:basedOn w:val="670"/>
    <w:link w:val="86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69" w:customStyle="1">
    <w:name w:val="Текст выноски Знак"/>
    <w:basedOn w:val="680"/>
    <w:link w:val="868"/>
    <w:uiPriority w:val="99"/>
    <w:semiHidden/>
    <w:rPr>
      <w:rFonts w:ascii="Tahoma" w:hAnsi="Tahoma" w:cs="Tahoma"/>
      <w:sz w:val="16"/>
      <w:szCs w:val="16"/>
    </w:rPr>
  </w:style>
  <w:style w:type="character" w:styleId="870" w:customStyle="1">
    <w:name w:val="Основной текст_"/>
    <w:link w:val="871"/>
    <w:rPr>
      <w:rFonts w:ascii="Times New Roman" w:hAnsi="Times New Roman" w:eastAsia="Times New Roman" w:cs="Times New Roman"/>
      <w:sz w:val="27"/>
      <w:szCs w:val="27"/>
      <w:shd w:val="clear" w:color="auto" w:fill="ffffff"/>
    </w:rPr>
  </w:style>
  <w:style w:type="paragraph" w:styleId="871" w:customStyle="1">
    <w:name w:val="Основной текст2"/>
    <w:basedOn w:val="670"/>
    <w:link w:val="870"/>
    <w:pPr>
      <w:jc w:val="both"/>
      <w:spacing w:before="300" w:after="0" w:line="317" w:lineRule="exact"/>
      <w:shd w:val="clear" w:color="auto" w:fill="ffffff"/>
      <w:widowControl w:val="off"/>
    </w:pPr>
    <w:rPr>
      <w:rFonts w:ascii="Times New Roman" w:hAnsi="Times New Roman" w:eastAsia="Times New Roman" w:cs="Times New Roman"/>
      <w:sz w:val="27"/>
      <w:szCs w:val="27"/>
    </w:rPr>
  </w:style>
  <w:style w:type="paragraph" w:styleId="872">
    <w:name w:val="Normal (Web)"/>
    <w:basedOn w:val="670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73">
    <w:name w:val="No Spacing"/>
    <w:uiPriority w:val="1"/>
    <w:qFormat/>
    <w:pPr>
      <w:spacing w:after="0" w:line="240" w:lineRule="auto"/>
    </w:pPr>
  </w:style>
  <w:style w:type="character" w:styleId="874">
    <w:name w:val="Hyperlink"/>
    <w:basedOn w:val="680"/>
    <w:uiPriority w:val="99"/>
    <w:semiHidden/>
    <w:unhideWhenUsed/>
    <w:rPr>
      <w:color w:val="0000ff"/>
      <w:u w:val="single"/>
    </w:rPr>
  </w:style>
  <w:style w:type="character" w:styleId="875" w:customStyle="1">
    <w:name w:val="Заголовок 2 Знак"/>
    <w:basedOn w:val="680"/>
    <w:link w:val="672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876" w:customStyle="1">
    <w:name w:val="ConsPlusNonformat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ourier New" w:hAnsi="Courier New" w:eastAsia="Times New Roman" w:cs="Courier New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FA69EF-D643-4F86-972D-028EA5C9E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Ражина</dc:creator>
  <cp:lastModifiedBy>konovalenkoan</cp:lastModifiedBy>
  <cp:revision>94</cp:revision>
  <dcterms:created xsi:type="dcterms:W3CDTF">2022-09-15T06:40:00Z</dcterms:created>
  <dcterms:modified xsi:type="dcterms:W3CDTF">2025-01-20T05:26:43Z</dcterms:modified>
</cp:coreProperties>
</file>